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721A93" w14:paraId="2A131A54" w14:textId="77777777" w:rsidTr="0033518C">
        <w:trPr>
          <w:trHeight w:val="852"/>
          <w:jc w:val="center"/>
        </w:trPr>
        <w:tc>
          <w:tcPr>
            <w:tcW w:w="6940" w:type="dxa"/>
            <w:vMerge w:val="restart"/>
            <w:tcBorders>
              <w:right w:val="single" w:sz="4" w:space="0" w:color="auto"/>
            </w:tcBorders>
          </w:tcPr>
          <w:p w14:paraId="38C3D2BA" w14:textId="77777777" w:rsidR="000A03B2" w:rsidRPr="00721A93" w:rsidRDefault="000A03B2" w:rsidP="002551AF">
            <w:pPr>
              <w:tabs>
                <w:tab w:val="left" w:pos="0"/>
              </w:tabs>
              <w:jc w:val="left"/>
              <w:rPr>
                <w:rFonts w:cs="Arial"/>
                <w:b/>
                <w:bCs/>
                <w:i/>
                <w:iCs/>
                <w:color w:val="000066"/>
                <w:sz w:val="12"/>
                <w:szCs w:val="12"/>
                <w:lang w:eastAsia="it-IT"/>
              </w:rPr>
            </w:pPr>
            <w:bookmarkStart w:id="0" w:name="_Hlk145068772"/>
            <w:r w:rsidRPr="00721A93">
              <w:rPr>
                <w:rFonts w:cs="Arial"/>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721A93">
              <w:rPr>
                <w:rFonts w:cs="Arial"/>
                <w:color w:val="241F20"/>
                <w:szCs w:val="18"/>
                <w:lang w:eastAsia="it-IT"/>
              </w:rPr>
              <w:t xml:space="preserve"> </w:t>
            </w:r>
            <w:r w:rsidRPr="00721A93">
              <w:rPr>
                <w:rFonts w:cs="Arial"/>
                <w:b/>
                <w:bCs/>
                <w:i/>
                <w:iCs/>
                <w:color w:val="000066"/>
                <w:sz w:val="24"/>
                <w:szCs w:val="24"/>
                <w:lang w:eastAsia="it-IT"/>
              </w:rPr>
              <w:t>CHEMICAL ENGINEERING</w:t>
            </w:r>
            <w:r w:rsidRPr="00721A93">
              <w:rPr>
                <w:rFonts w:cs="Arial"/>
                <w:b/>
                <w:bCs/>
                <w:i/>
                <w:iCs/>
                <w:color w:val="0033FF"/>
                <w:sz w:val="24"/>
                <w:szCs w:val="24"/>
                <w:lang w:eastAsia="it-IT"/>
              </w:rPr>
              <w:t xml:space="preserve"> </w:t>
            </w:r>
            <w:r w:rsidRPr="00721A93">
              <w:rPr>
                <w:rFonts w:cs="Arial"/>
                <w:b/>
                <w:bCs/>
                <w:i/>
                <w:iCs/>
                <w:color w:val="666666"/>
                <w:sz w:val="24"/>
                <w:szCs w:val="24"/>
                <w:lang w:eastAsia="it-IT"/>
              </w:rPr>
              <w:t>TRANSACTIONS</w:t>
            </w:r>
            <w:r w:rsidRPr="00721A93">
              <w:rPr>
                <w:rFonts w:cs="Arial"/>
                <w:color w:val="333333"/>
                <w:sz w:val="24"/>
                <w:szCs w:val="24"/>
                <w:lang w:eastAsia="it-IT"/>
              </w:rPr>
              <w:t xml:space="preserve"> </w:t>
            </w:r>
            <w:r w:rsidRPr="00721A93">
              <w:rPr>
                <w:rFonts w:cs="Arial"/>
                <w:b/>
                <w:bCs/>
                <w:i/>
                <w:iCs/>
                <w:color w:val="000066"/>
                <w:sz w:val="27"/>
                <w:szCs w:val="27"/>
                <w:lang w:eastAsia="it-IT"/>
              </w:rPr>
              <w:br/>
            </w:r>
          </w:p>
          <w:p w14:paraId="4B780582" w14:textId="753620B8" w:rsidR="000A03B2" w:rsidRPr="00721A93" w:rsidRDefault="00A76EFC" w:rsidP="002551AF">
            <w:pPr>
              <w:tabs>
                <w:tab w:val="left" w:pos="0"/>
              </w:tabs>
              <w:rPr>
                <w:rFonts w:cs="Arial"/>
                <w:b/>
                <w:bCs/>
                <w:i/>
                <w:iCs/>
                <w:color w:val="000066"/>
                <w:sz w:val="22"/>
                <w:szCs w:val="22"/>
                <w:lang w:eastAsia="it-IT"/>
              </w:rPr>
            </w:pPr>
            <w:r w:rsidRPr="00721A93">
              <w:rPr>
                <w:rFonts w:cs="Arial"/>
                <w:b/>
                <w:bCs/>
                <w:i/>
                <w:iCs/>
                <w:color w:val="000066"/>
                <w:sz w:val="22"/>
                <w:szCs w:val="22"/>
                <w:lang w:eastAsia="it-IT"/>
              </w:rPr>
              <w:t>VOL.</w:t>
            </w:r>
            <w:r w:rsidR="00785BF9" w:rsidRPr="00721A93">
              <w:rPr>
                <w:rFonts w:cs="Arial"/>
                <w:b/>
                <w:bCs/>
                <w:i/>
                <w:iCs/>
                <w:color w:val="000066"/>
                <w:sz w:val="22"/>
                <w:szCs w:val="22"/>
                <w:lang w:eastAsia="it-IT"/>
              </w:rPr>
              <w:t xml:space="preserve"> </w:t>
            </w:r>
            <w:r w:rsidR="00AD0278" w:rsidRPr="00721A93">
              <w:rPr>
                <w:rFonts w:cs="Arial"/>
                <w:b/>
                <w:bCs/>
                <w:i/>
                <w:iCs/>
                <w:color w:val="000066"/>
                <w:sz w:val="22"/>
                <w:szCs w:val="22"/>
                <w:lang w:eastAsia="it-IT"/>
              </w:rPr>
              <w:t>xxx</w:t>
            </w:r>
            <w:r w:rsidR="007B48F9" w:rsidRPr="00721A93">
              <w:rPr>
                <w:rFonts w:cs="Arial"/>
                <w:b/>
                <w:bCs/>
                <w:i/>
                <w:iCs/>
                <w:color w:val="000066"/>
                <w:sz w:val="22"/>
                <w:szCs w:val="22"/>
                <w:lang w:eastAsia="it-IT"/>
              </w:rPr>
              <w:t>,</w:t>
            </w:r>
            <w:r w:rsidR="00FA5F5F" w:rsidRPr="00721A93">
              <w:rPr>
                <w:rFonts w:cs="Arial"/>
                <w:b/>
                <w:bCs/>
                <w:i/>
                <w:iCs/>
                <w:color w:val="000066"/>
                <w:sz w:val="22"/>
                <w:szCs w:val="22"/>
                <w:lang w:eastAsia="it-IT"/>
              </w:rPr>
              <w:t xml:space="preserve"> </w:t>
            </w:r>
            <w:r w:rsidR="0030152C" w:rsidRPr="00721A93">
              <w:rPr>
                <w:rFonts w:cs="Arial"/>
                <w:b/>
                <w:bCs/>
                <w:i/>
                <w:iCs/>
                <w:color w:val="000066"/>
                <w:sz w:val="22"/>
                <w:szCs w:val="22"/>
                <w:lang w:eastAsia="it-IT"/>
              </w:rPr>
              <w:t>202</w:t>
            </w:r>
            <w:r w:rsidR="00AD0278" w:rsidRPr="00721A93">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721A93" w:rsidRDefault="000A03B2" w:rsidP="002551AF">
            <w:pPr>
              <w:tabs>
                <w:tab w:val="left" w:pos="0"/>
              </w:tabs>
              <w:spacing w:line="140" w:lineRule="atLeast"/>
              <w:jc w:val="right"/>
              <w:rPr>
                <w:rFonts w:cs="Arial"/>
                <w:sz w:val="14"/>
                <w:szCs w:val="14"/>
              </w:rPr>
            </w:pPr>
            <w:r w:rsidRPr="00721A93">
              <w:rPr>
                <w:rFonts w:cs="Arial"/>
                <w:sz w:val="14"/>
                <w:szCs w:val="14"/>
              </w:rPr>
              <w:t>A publication of</w:t>
            </w:r>
          </w:p>
          <w:p w14:paraId="599E5441" w14:textId="77777777" w:rsidR="000A03B2" w:rsidRPr="00721A93" w:rsidRDefault="000A03B2" w:rsidP="002551AF">
            <w:pPr>
              <w:tabs>
                <w:tab w:val="left" w:pos="0"/>
              </w:tabs>
              <w:jc w:val="right"/>
              <w:rPr>
                <w:rFonts w:cs="Arial"/>
              </w:rPr>
            </w:pPr>
            <w:r w:rsidRPr="00721A93">
              <w:rPr>
                <w:rFonts w:cs="Arial"/>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721A93" w14:paraId="380FA3CD" w14:textId="77777777" w:rsidTr="0033518C">
        <w:trPr>
          <w:trHeight w:val="567"/>
          <w:jc w:val="center"/>
        </w:trPr>
        <w:tc>
          <w:tcPr>
            <w:tcW w:w="6940" w:type="dxa"/>
            <w:vMerge/>
            <w:tcBorders>
              <w:right w:val="single" w:sz="4" w:space="0" w:color="auto"/>
            </w:tcBorders>
          </w:tcPr>
          <w:p w14:paraId="39E5E4C1" w14:textId="77777777" w:rsidR="000A03B2" w:rsidRPr="00721A93" w:rsidRDefault="000A03B2" w:rsidP="002551AF">
            <w:pPr>
              <w:tabs>
                <w:tab w:val="left" w:pos="0"/>
              </w:tabs>
              <w:rPr>
                <w:rFonts w:cs="Arial"/>
              </w:rPr>
            </w:pPr>
          </w:p>
        </w:tc>
        <w:tc>
          <w:tcPr>
            <w:tcW w:w="1842" w:type="dxa"/>
            <w:tcBorders>
              <w:left w:val="single" w:sz="4" w:space="0" w:color="auto"/>
              <w:bottom w:val="nil"/>
              <w:right w:val="single" w:sz="4" w:space="0" w:color="auto"/>
            </w:tcBorders>
          </w:tcPr>
          <w:p w14:paraId="43858A98" w14:textId="77777777" w:rsidR="000A03B2" w:rsidRPr="00721A93" w:rsidRDefault="000A03B2" w:rsidP="002551AF">
            <w:pPr>
              <w:tabs>
                <w:tab w:val="left" w:pos="0"/>
              </w:tabs>
              <w:spacing w:line="140" w:lineRule="atLeast"/>
              <w:jc w:val="right"/>
              <w:rPr>
                <w:rFonts w:cs="Arial"/>
                <w:sz w:val="14"/>
                <w:szCs w:val="14"/>
              </w:rPr>
            </w:pPr>
            <w:r w:rsidRPr="00721A93">
              <w:rPr>
                <w:rFonts w:cs="Arial"/>
                <w:sz w:val="14"/>
                <w:szCs w:val="14"/>
              </w:rPr>
              <w:t>The Italian Association</w:t>
            </w:r>
          </w:p>
          <w:p w14:paraId="7522B1D2" w14:textId="77777777" w:rsidR="000A03B2" w:rsidRPr="00721A93" w:rsidRDefault="000A03B2" w:rsidP="002551AF">
            <w:pPr>
              <w:tabs>
                <w:tab w:val="left" w:pos="0"/>
              </w:tabs>
              <w:spacing w:line="140" w:lineRule="atLeast"/>
              <w:jc w:val="right"/>
              <w:rPr>
                <w:rFonts w:cs="Arial"/>
                <w:sz w:val="14"/>
                <w:szCs w:val="14"/>
              </w:rPr>
            </w:pPr>
            <w:r w:rsidRPr="00721A93">
              <w:rPr>
                <w:rFonts w:cs="Arial"/>
                <w:sz w:val="14"/>
                <w:szCs w:val="14"/>
              </w:rPr>
              <w:t>of Chemical Engineering</w:t>
            </w:r>
          </w:p>
          <w:p w14:paraId="4F0CC5DE" w14:textId="47FDB2FC" w:rsidR="000A03B2" w:rsidRPr="00721A93" w:rsidRDefault="000D0268" w:rsidP="002551AF">
            <w:pPr>
              <w:tabs>
                <w:tab w:val="left" w:pos="0"/>
              </w:tabs>
              <w:spacing w:line="140" w:lineRule="atLeast"/>
              <w:jc w:val="right"/>
              <w:rPr>
                <w:rFonts w:cs="Arial"/>
                <w:sz w:val="13"/>
                <w:szCs w:val="13"/>
              </w:rPr>
            </w:pPr>
            <w:r w:rsidRPr="00721A93">
              <w:rPr>
                <w:rFonts w:cs="Arial"/>
                <w:sz w:val="13"/>
                <w:szCs w:val="13"/>
              </w:rPr>
              <w:t>Online at www.cetjournal.it</w:t>
            </w:r>
          </w:p>
        </w:tc>
      </w:tr>
      <w:tr w:rsidR="000A03B2" w:rsidRPr="00721A93" w14:paraId="2D1B7169" w14:textId="77777777" w:rsidTr="0033518C">
        <w:trPr>
          <w:trHeight w:val="68"/>
          <w:jc w:val="center"/>
        </w:trPr>
        <w:tc>
          <w:tcPr>
            <w:tcW w:w="8782" w:type="dxa"/>
            <w:gridSpan w:val="2"/>
          </w:tcPr>
          <w:p w14:paraId="1D8DD3C9" w14:textId="174205F6" w:rsidR="00AA7D26" w:rsidRPr="00721A93" w:rsidRDefault="004A5E57" w:rsidP="002551AF">
            <w:pPr>
              <w:tabs>
                <w:tab w:val="left" w:pos="0"/>
              </w:tabs>
              <w:outlineLvl w:val="2"/>
              <w:rPr>
                <w:rFonts w:cs="Arial"/>
                <w:color w:val="000000"/>
                <w:sz w:val="14"/>
                <w:szCs w:val="14"/>
                <w:shd w:val="clear" w:color="auto" w:fill="FFFFFF"/>
                <w:lang w:val="it-IT"/>
              </w:rPr>
            </w:pPr>
            <w:r w:rsidRPr="00721A93">
              <w:rPr>
                <w:rFonts w:cs="Arial"/>
                <w:iCs/>
                <w:color w:val="333333"/>
                <w:sz w:val="14"/>
                <w:szCs w:val="14"/>
                <w:lang w:val="it-IT" w:eastAsia="it-IT"/>
              </w:rPr>
              <w:t>Guest Editors:</w:t>
            </w:r>
            <w:r w:rsidRPr="00721A93">
              <w:rPr>
                <w:rFonts w:cs="Arial"/>
                <w:color w:val="000000"/>
                <w:sz w:val="14"/>
                <w:szCs w:val="14"/>
                <w:shd w:val="clear" w:color="auto" w:fill="FFFFFF"/>
                <w:lang w:val="it-IT"/>
              </w:rPr>
              <w:t xml:space="preserve"> </w:t>
            </w:r>
            <w:r w:rsidR="00CB2614" w:rsidRPr="00721A93">
              <w:rPr>
                <w:rFonts w:cs="Arial"/>
                <w:color w:val="000000"/>
                <w:sz w:val="14"/>
                <w:szCs w:val="14"/>
                <w:shd w:val="clear" w:color="auto" w:fill="FFFFFF"/>
                <w:lang w:val="it-IT"/>
              </w:rPr>
              <w:t>Flavio Manenti, Botir Usmonov, Alessandro Di Pretoro</w:t>
            </w:r>
          </w:p>
          <w:p w14:paraId="1B0F1814" w14:textId="710B7B96" w:rsidR="000A03B2" w:rsidRPr="00721A93" w:rsidRDefault="00AA7D26" w:rsidP="002551AF">
            <w:pPr>
              <w:tabs>
                <w:tab w:val="left" w:pos="0"/>
              </w:tabs>
              <w:spacing w:line="140" w:lineRule="atLeast"/>
              <w:jc w:val="left"/>
              <w:rPr>
                <w:rFonts w:cs="Arial"/>
              </w:rPr>
            </w:pPr>
            <w:r w:rsidRPr="00721A93">
              <w:rPr>
                <w:rFonts w:cs="Arial"/>
                <w:iCs/>
                <w:color w:val="333333"/>
                <w:sz w:val="14"/>
                <w:szCs w:val="14"/>
                <w:lang w:eastAsia="it-IT"/>
              </w:rPr>
              <w:t>Copyright © 202</w:t>
            </w:r>
            <w:r w:rsidR="00005884" w:rsidRPr="00721A93">
              <w:rPr>
                <w:rFonts w:cs="Arial"/>
                <w:iCs/>
                <w:color w:val="333333"/>
                <w:sz w:val="14"/>
                <w:szCs w:val="14"/>
                <w:lang w:eastAsia="it-IT"/>
              </w:rPr>
              <w:t>6</w:t>
            </w:r>
            <w:r w:rsidRPr="00721A93">
              <w:rPr>
                <w:rFonts w:cs="Arial"/>
                <w:iCs/>
                <w:color w:val="333333"/>
                <w:sz w:val="14"/>
                <w:szCs w:val="14"/>
                <w:lang w:eastAsia="it-IT"/>
              </w:rPr>
              <w:t>, AIDIC Servizi S.r.l.</w:t>
            </w:r>
            <w:r w:rsidRPr="00721A93">
              <w:rPr>
                <w:rFonts w:cs="Arial"/>
                <w:iCs/>
                <w:color w:val="333333"/>
                <w:sz w:val="14"/>
                <w:szCs w:val="14"/>
                <w:lang w:eastAsia="it-IT"/>
              </w:rPr>
              <w:br/>
            </w:r>
            <w:r w:rsidRPr="00721A93">
              <w:rPr>
                <w:rFonts w:cs="Arial"/>
                <w:b/>
                <w:iCs/>
                <w:color w:val="000000"/>
                <w:sz w:val="14"/>
                <w:szCs w:val="14"/>
                <w:lang w:eastAsia="it-IT"/>
              </w:rPr>
              <w:t>ISBN</w:t>
            </w:r>
            <w:r w:rsidRPr="00721A93">
              <w:rPr>
                <w:rFonts w:cs="Arial"/>
                <w:iCs/>
                <w:color w:val="000000"/>
                <w:sz w:val="14"/>
                <w:szCs w:val="14"/>
                <w:lang w:eastAsia="it-IT"/>
              </w:rPr>
              <w:t xml:space="preserve"> </w:t>
            </w:r>
            <w:r w:rsidR="00D2582C" w:rsidRPr="00721A93">
              <w:rPr>
                <w:rFonts w:cs="Arial"/>
                <w:sz w:val="14"/>
                <w:szCs w:val="14"/>
              </w:rPr>
              <w:t>979-12-81206-</w:t>
            </w:r>
            <w:r w:rsidR="00005884" w:rsidRPr="00721A93">
              <w:rPr>
                <w:rFonts w:cs="Arial"/>
                <w:sz w:val="14"/>
                <w:szCs w:val="14"/>
              </w:rPr>
              <w:t>xx</w:t>
            </w:r>
            <w:r w:rsidR="009041F8" w:rsidRPr="00721A93">
              <w:rPr>
                <w:rFonts w:cs="Arial"/>
                <w:sz w:val="14"/>
                <w:szCs w:val="14"/>
              </w:rPr>
              <w:t>-</w:t>
            </w:r>
            <w:r w:rsidR="00005884" w:rsidRPr="00721A93">
              <w:rPr>
                <w:rFonts w:cs="Arial"/>
                <w:sz w:val="14"/>
                <w:szCs w:val="14"/>
              </w:rPr>
              <w:t>x</w:t>
            </w:r>
            <w:r w:rsidRPr="00721A93">
              <w:rPr>
                <w:rFonts w:cs="Arial"/>
                <w:iCs/>
                <w:color w:val="333333"/>
                <w:sz w:val="14"/>
                <w:szCs w:val="14"/>
                <w:lang w:eastAsia="it-IT"/>
              </w:rPr>
              <w:t xml:space="preserve">; </w:t>
            </w:r>
            <w:r w:rsidRPr="00721A93">
              <w:rPr>
                <w:rFonts w:cs="Arial"/>
                <w:b/>
                <w:iCs/>
                <w:color w:val="333333"/>
                <w:sz w:val="14"/>
                <w:szCs w:val="14"/>
                <w:lang w:eastAsia="it-IT"/>
              </w:rPr>
              <w:t>ISSN</w:t>
            </w:r>
            <w:r w:rsidRPr="00721A93">
              <w:rPr>
                <w:rFonts w:cs="Arial"/>
                <w:iCs/>
                <w:color w:val="333333"/>
                <w:sz w:val="14"/>
                <w:szCs w:val="14"/>
                <w:lang w:eastAsia="it-IT"/>
              </w:rPr>
              <w:t xml:space="preserve"> 2283-9216</w:t>
            </w:r>
          </w:p>
        </w:tc>
      </w:tr>
    </w:tbl>
    <w:p w14:paraId="5351843D" w14:textId="6F1590DD" w:rsidR="009D7356" w:rsidRPr="00721A93" w:rsidRDefault="002658EF" w:rsidP="002551AF">
      <w:pPr>
        <w:pStyle w:val="CETTitle"/>
        <w:tabs>
          <w:tab w:val="left" w:pos="0"/>
        </w:tabs>
        <w:rPr>
          <w:rFonts w:cs="Arial"/>
        </w:rPr>
      </w:pPr>
      <w:bookmarkStart w:id="1" w:name="_Hlk231293310"/>
      <w:bookmarkEnd w:id="0"/>
      <w:r w:rsidRPr="00F6479B">
        <w:t>Tailoring</w:t>
      </w:r>
      <w:r w:rsidRPr="00721A93">
        <w:rPr>
          <w:rFonts w:cs="Arial"/>
        </w:rPr>
        <w:t xml:space="preserve"> the </w:t>
      </w:r>
      <w:r w:rsidR="00450827">
        <w:rPr>
          <w:rFonts w:cs="Arial"/>
        </w:rPr>
        <w:t>S</w:t>
      </w:r>
      <w:r w:rsidRPr="00721A93">
        <w:rPr>
          <w:rFonts w:cs="Arial"/>
        </w:rPr>
        <w:t xml:space="preserve">urface </w:t>
      </w:r>
      <w:r w:rsidR="00450827">
        <w:rPr>
          <w:rFonts w:cs="Arial"/>
        </w:rPr>
        <w:t>M</w:t>
      </w:r>
      <w:r w:rsidRPr="00721A93">
        <w:rPr>
          <w:rFonts w:cs="Arial"/>
        </w:rPr>
        <w:t xml:space="preserve">orphology and </w:t>
      </w:r>
      <w:r w:rsidR="00450827">
        <w:rPr>
          <w:rFonts w:cs="Arial"/>
        </w:rPr>
        <w:t>P</w:t>
      </w:r>
      <w:r w:rsidRPr="00721A93">
        <w:rPr>
          <w:rFonts w:cs="Arial"/>
        </w:rPr>
        <w:t xml:space="preserve">hotocatalytic </w:t>
      </w:r>
      <w:r w:rsidR="00450827">
        <w:rPr>
          <w:rFonts w:cs="Arial"/>
        </w:rPr>
        <w:t>D</w:t>
      </w:r>
      <w:r w:rsidRPr="00721A93">
        <w:rPr>
          <w:rFonts w:cs="Arial"/>
        </w:rPr>
        <w:t>egr</w:t>
      </w:r>
      <w:r>
        <w:rPr>
          <w:rFonts w:cs="Arial"/>
          <w:lang w:val="en-US"/>
        </w:rPr>
        <w:t>a</w:t>
      </w:r>
      <w:r w:rsidRPr="00721A93">
        <w:rPr>
          <w:rFonts w:cs="Arial"/>
        </w:rPr>
        <w:t xml:space="preserve">dation of </w:t>
      </w:r>
      <w:r>
        <w:rPr>
          <w:rFonts w:cs="Arial"/>
        </w:rPr>
        <w:t>T</w:t>
      </w:r>
      <w:r w:rsidRPr="00721A93">
        <w:rPr>
          <w:rFonts w:cs="Arial"/>
        </w:rPr>
        <w:t>i</w:t>
      </w:r>
      <w:r>
        <w:rPr>
          <w:rFonts w:cs="Arial"/>
        </w:rPr>
        <w:t>O</w:t>
      </w:r>
      <w:r w:rsidR="0033518C" w:rsidRPr="00721A93">
        <w:rPr>
          <w:rFonts w:cs="Arial"/>
          <w:vertAlign w:val="subscript"/>
        </w:rPr>
        <w:t>2</w:t>
      </w:r>
      <w:r w:rsidRPr="00721A93">
        <w:rPr>
          <w:rFonts w:cs="Arial"/>
        </w:rPr>
        <w:t>/</w:t>
      </w:r>
      <w:r w:rsidR="00450827">
        <w:rPr>
          <w:rFonts w:cs="Arial"/>
        </w:rPr>
        <w:t>I</w:t>
      </w:r>
      <w:r w:rsidRPr="00721A93">
        <w:rPr>
          <w:rFonts w:cs="Arial"/>
        </w:rPr>
        <w:t xml:space="preserve">ron </w:t>
      </w:r>
      <w:r w:rsidR="00450827">
        <w:rPr>
          <w:rFonts w:cs="Arial"/>
        </w:rPr>
        <w:t>M</w:t>
      </w:r>
      <w:r w:rsidRPr="00721A93">
        <w:rPr>
          <w:rFonts w:cs="Arial"/>
        </w:rPr>
        <w:t xml:space="preserve">olybdate </w:t>
      </w:r>
      <w:r w:rsidR="00450827">
        <w:rPr>
          <w:rFonts w:cs="Arial"/>
        </w:rPr>
        <w:t>C</w:t>
      </w:r>
      <w:r w:rsidRPr="00721A93">
        <w:rPr>
          <w:rFonts w:cs="Arial"/>
        </w:rPr>
        <w:t>omposites</w:t>
      </w:r>
    </w:p>
    <w:p w14:paraId="45B907E6" w14:textId="4EF620B4" w:rsidR="0033518C" w:rsidRPr="00721A93" w:rsidRDefault="0033518C" w:rsidP="002551AF">
      <w:pPr>
        <w:pStyle w:val="CETTitle"/>
        <w:tabs>
          <w:tab w:val="left" w:pos="0"/>
        </w:tabs>
        <w:rPr>
          <w:rFonts w:cs="Arial"/>
        </w:rPr>
      </w:pPr>
      <w:bookmarkStart w:id="2" w:name="_Hlk231293362"/>
      <w:bookmarkEnd w:id="1"/>
      <w:r w:rsidRPr="00721A93">
        <w:rPr>
          <w:rFonts w:cs="Arial"/>
          <w:noProof/>
          <w:sz w:val="24"/>
        </w:rPr>
        <w:t>Dilshoda R. Tursunova</w:t>
      </w:r>
      <w:r w:rsidR="00EB6924" w:rsidRPr="00721A93">
        <w:rPr>
          <w:rFonts w:cs="Arial"/>
          <w:noProof/>
          <w:sz w:val="24"/>
          <w:vertAlign w:val="superscript"/>
        </w:rPr>
        <w:t>a</w:t>
      </w:r>
      <w:r w:rsidRPr="00721A93">
        <w:rPr>
          <w:rFonts w:cs="Arial"/>
          <w:noProof/>
          <w:sz w:val="24"/>
        </w:rPr>
        <w:t>*</w:t>
      </w:r>
      <w:r w:rsidR="00FB7A17" w:rsidRPr="00721A93">
        <w:rPr>
          <w:rFonts w:cs="Arial"/>
          <w:noProof/>
          <w:sz w:val="24"/>
        </w:rPr>
        <w:t xml:space="preserve"> </w:t>
      </w:r>
      <w:r w:rsidRPr="00721A93">
        <w:rPr>
          <w:rFonts w:cs="Arial"/>
          <w:noProof/>
          <w:sz w:val="24"/>
        </w:rPr>
        <w:t>Zu</w:t>
      </w:r>
      <w:r w:rsidR="00EB6924" w:rsidRPr="00721A93">
        <w:rPr>
          <w:rFonts w:cs="Arial"/>
          <w:noProof/>
          <w:sz w:val="24"/>
        </w:rPr>
        <w:t>k</w:t>
      </w:r>
      <w:r w:rsidRPr="00721A93">
        <w:rPr>
          <w:rFonts w:cs="Arial"/>
          <w:noProof/>
          <w:sz w:val="24"/>
        </w:rPr>
        <w:t>hra С. Kadirova</w:t>
      </w:r>
      <w:r w:rsidR="00EB6924" w:rsidRPr="00721A93">
        <w:rPr>
          <w:rFonts w:cs="Arial"/>
          <w:noProof/>
          <w:sz w:val="24"/>
          <w:vertAlign w:val="superscript"/>
        </w:rPr>
        <w:t>b</w:t>
      </w:r>
      <w:r w:rsidRPr="00721A93">
        <w:rPr>
          <w:rFonts w:cs="Arial"/>
          <w:noProof/>
          <w:sz w:val="24"/>
        </w:rPr>
        <w:t xml:space="preserve"> </w:t>
      </w:r>
    </w:p>
    <w:p w14:paraId="6670D0B4" w14:textId="1E0384F2" w:rsidR="0033518C" w:rsidRPr="00721A93" w:rsidRDefault="00EB6924" w:rsidP="00F6479B">
      <w:pPr>
        <w:pStyle w:val="CETAddress"/>
        <w:rPr>
          <w:rFonts w:cs="Arial"/>
        </w:rPr>
      </w:pPr>
      <w:bookmarkStart w:id="3" w:name="_Hlk231293403"/>
      <w:bookmarkEnd w:id="2"/>
      <w:r w:rsidRPr="00721A93">
        <w:rPr>
          <w:rFonts w:cs="Arial"/>
          <w:vertAlign w:val="superscript"/>
        </w:rPr>
        <w:t>a</w:t>
      </w:r>
      <w:r w:rsidR="0033518C" w:rsidRPr="00721A93">
        <w:rPr>
          <w:rFonts w:cs="Arial"/>
        </w:rPr>
        <w:t xml:space="preserve">Tashkent Institute of Chemical Technology, </w:t>
      </w:r>
      <w:r w:rsidR="009D5EA2" w:rsidRPr="00721A93">
        <w:rPr>
          <w:rFonts w:cs="Arial"/>
        </w:rPr>
        <w:t xml:space="preserve">Navoi Street 32A, </w:t>
      </w:r>
      <w:r w:rsidR="0033518C" w:rsidRPr="00721A93">
        <w:rPr>
          <w:rFonts w:cs="Arial"/>
        </w:rPr>
        <w:t>Tashkent, Uzbekistan</w:t>
      </w:r>
    </w:p>
    <w:p w14:paraId="27B479CE" w14:textId="3433B943" w:rsidR="00EB6924" w:rsidRPr="00721A93" w:rsidRDefault="00EB6924" w:rsidP="002551AF">
      <w:pPr>
        <w:pStyle w:val="CETAddress"/>
        <w:tabs>
          <w:tab w:val="left" w:pos="0"/>
        </w:tabs>
        <w:rPr>
          <w:rFonts w:cs="Arial"/>
        </w:rPr>
      </w:pPr>
      <w:r w:rsidRPr="00721A93">
        <w:rPr>
          <w:rFonts w:cs="Arial"/>
          <w:vertAlign w:val="superscript"/>
        </w:rPr>
        <w:t>b</w:t>
      </w:r>
      <w:r w:rsidR="0033518C" w:rsidRPr="00721A93">
        <w:rPr>
          <w:rFonts w:cs="Arial"/>
        </w:rPr>
        <w:t xml:space="preserve">Uzbek-Japan Innovation Center of Youth, </w:t>
      </w:r>
      <w:r w:rsidR="009D5EA2" w:rsidRPr="00721A93">
        <w:rPr>
          <w:rFonts w:cs="Arial"/>
        </w:rPr>
        <w:t xml:space="preserve">University Street 2B, </w:t>
      </w:r>
      <w:r w:rsidR="0033518C" w:rsidRPr="00721A93">
        <w:rPr>
          <w:rFonts w:cs="Arial"/>
        </w:rPr>
        <w:t>Tashkent, Uzbekistan</w:t>
      </w:r>
      <w:r w:rsidRPr="00721A93">
        <w:rPr>
          <w:rFonts w:cs="Arial"/>
        </w:rPr>
        <w:t xml:space="preserve"> </w:t>
      </w:r>
    </w:p>
    <w:p w14:paraId="7332F5E0" w14:textId="69A2DAE5" w:rsidR="00F26FF9" w:rsidRPr="00721A93" w:rsidRDefault="001D4546" w:rsidP="002551AF">
      <w:pPr>
        <w:pStyle w:val="CETAddress"/>
        <w:tabs>
          <w:tab w:val="left" w:pos="0"/>
        </w:tabs>
        <w:rPr>
          <w:rStyle w:val="ezkurwreuab5ozgtqnkl"/>
          <w:rFonts w:cs="Arial"/>
          <w:b/>
          <w:bCs/>
          <w:i/>
          <w:iCs/>
          <w:szCs w:val="16"/>
          <w:lang w:val="en-US"/>
        </w:rPr>
      </w:pPr>
      <w:hyperlink r:id="rId10" w:history="1">
        <w:r w:rsidR="00A24346" w:rsidRPr="00721A93">
          <w:rPr>
            <w:rFonts w:cs="Arial"/>
          </w:rPr>
          <w:t>tursunovadilshoda54@gmail.com</w:t>
        </w:r>
      </w:hyperlink>
    </w:p>
    <w:bookmarkEnd w:id="3"/>
    <w:p w14:paraId="033C0ED5" w14:textId="77777777" w:rsidR="00233CC7" w:rsidRPr="00721A93" w:rsidRDefault="00233CC7" w:rsidP="002551AF">
      <w:pPr>
        <w:tabs>
          <w:tab w:val="left" w:pos="0"/>
        </w:tabs>
        <w:spacing w:line="240" w:lineRule="auto"/>
        <w:rPr>
          <w:rFonts w:cs="Arial"/>
          <w:sz w:val="24"/>
          <w:szCs w:val="24"/>
          <w:lang w:val="en-US" w:eastAsia="ru-RU"/>
        </w:rPr>
      </w:pPr>
    </w:p>
    <w:p w14:paraId="3CD4C64F" w14:textId="4752C799" w:rsidR="00235A89" w:rsidRPr="00235A89" w:rsidRDefault="0033518C" w:rsidP="00235A89">
      <w:pPr>
        <w:pStyle w:val="CETBodytext"/>
      </w:pPr>
      <w:r w:rsidRPr="00721A93">
        <w:rPr>
          <w:rFonts w:cs="Arial"/>
          <w:sz w:val="24"/>
          <w:szCs w:val="24"/>
          <w:lang w:eastAsia="ru-RU"/>
        </w:rPr>
        <w:tab/>
      </w:r>
      <w:r w:rsidR="00235A89" w:rsidRPr="00235A89">
        <w:t>The development of efficient light-driven photocatalysts is a critical frontier in materials science, particularly for addressing environmental remediation challenges through advanced oxidation processes. The aim of this study is to engineer the surface morphology of TiO</w:t>
      </w:r>
      <w:r w:rsidR="00235A89" w:rsidRPr="00235A89">
        <w:rPr>
          <w:vertAlign w:val="subscript"/>
        </w:rPr>
        <w:t>2</w:t>
      </w:r>
      <w:r w:rsidR="00235A89" w:rsidRPr="00235A89">
        <w:t xml:space="preserve"> (T) through the incorporation of iron molybdate (Fe</w:t>
      </w:r>
      <w:r w:rsidR="00EF00B5" w:rsidRPr="00EF00B5">
        <w:rPr>
          <w:vertAlign w:val="subscript"/>
        </w:rPr>
        <w:t>2</w:t>
      </w:r>
      <w:r w:rsidR="00235A89" w:rsidRPr="00235A89">
        <w:t>(MoO</w:t>
      </w:r>
      <w:r w:rsidR="00EF00B5" w:rsidRPr="00EF00B5">
        <w:rPr>
          <w:vertAlign w:val="subscript"/>
        </w:rPr>
        <w:t>4</w:t>
      </w:r>
      <w:r w:rsidR="00235A89" w:rsidRPr="00235A89">
        <w:t>)</w:t>
      </w:r>
      <w:r w:rsidR="00EF00B5" w:rsidRPr="00EF00B5">
        <w:rPr>
          <w:vertAlign w:val="subscript"/>
        </w:rPr>
        <w:t>3</w:t>
      </w:r>
      <w:r w:rsidR="00235A89" w:rsidRPr="00235A89">
        <w:t xml:space="preserve"> (FM)) via a precise solid-state thermal diffusion approach. Pure anatase TiO</w:t>
      </w:r>
      <w:r w:rsidR="00235A89" w:rsidRPr="000D26D7">
        <w:rPr>
          <w:vertAlign w:val="subscript"/>
        </w:rPr>
        <w:t>2</w:t>
      </w:r>
      <w:r w:rsidR="00235A89" w:rsidRPr="00235A89">
        <w:t xml:space="preserve"> was mixed with iron molybdenum precursors in various stoichiometric ratios (T1/FM1, T1.5/FM0.5, T1.75/FM0.25, and T1.9/FM0.1) and subjected to high-temperature annealing at 600 °C for 5 h.  SEM analysis revealed a remarkable transformation in surface morphology, specifically at lower iron molybdate concentrations (T1.9/FM0.1). As the loading increased, these features evolved into complex, highly textured</w:t>
      </w:r>
      <w:r w:rsidR="00820CEE">
        <w:t>, agglomerated clusters with increased</w:t>
      </w:r>
      <w:r w:rsidR="00235A89" w:rsidRPr="00235A89">
        <w:t xml:space="preserve"> surface roughness and potential active sites. EDS mapping demonstrated a highly homogeneous distribution of titanium, iron, and molybdenum across the composite surface, confirming that the thermal diffusion method effectively integrates the secondary phase without undesirable segregation. </w:t>
      </w:r>
      <w:r w:rsidR="00D73850">
        <w:t>E</w:t>
      </w:r>
      <w:r w:rsidR="00235A89" w:rsidRPr="00235A89">
        <w:t xml:space="preserve">lemental analysis </w:t>
      </w:r>
      <w:r w:rsidR="00E22303">
        <w:rPr>
          <w:lang w:val="uz-Latn-UZ"/>
        </w:rPr>
        <w:t>confirmed</w:t>
      </w:r>
      <w:r w:rsidR="00235A89" w:rsidRPr="00235A89">
        <w:t xml:space="preserve"> the chemical consistency of the composites, </w:t>
      </w:r>
      <w:r w:rsidR="00E22303">
        <w:t>and</w:t>
      </w:r>
      <w:r w:rsidR="00235A89" w:rsidRPr="00235A89">
        <w:t xml:space="preserve"> the oxygen content was accurately </w:t>
      </w:r>
      <w:r w:rsidR="0053329A">
        <w:t>determined</w:t>
      </w:r>
      <w:r w:rsidR="00235A89" w:rsidRPr="00235A89">
        <w:t xml:space="preserve"> </w:t>
      </w:r>
      <w:r w:rsidR="00F25B94">
        <w:rPr>
          <w:lang w:val="uz-Latn-UZ"/>
        </w:rPr>
        <w:t>via</w:t>
      </w:r>
      <w:r w:rsidR="00235A89" w:rsidRPr="00235A89">
        <w:t xml:space="preserve"> stoichiometric compensation based on the identified metallic oxides (TiO</w:t>
      </w:r>
      <w:r w:rsidR="00235A89" w:rsidRPr="00EF00B5">
        <w:rPr>
          <w:vertAlign w:val="subscript"/>
        </w:rPr>
        <w:t>2</w:t>
      </w:r>
      <w:r w:rsidR="00235A89" w:rsidRPr="00235A89">
        <w:t>, Fe</w:t>
      </w:r>
      <w:r w:rsidR="00235A89" w:rsidRPr="00EF00B5">
        <w:rPr>
          <w:vertAlign w:val="subscript"/>
        </w:rPr>
        <w:t>2</w:t>
      </w:r>
      <w:r w:rsidR="00235A89" w:rsidRPr="00235A89">
        <w:t>(MoO</w:t>
      </w:r>
      <w:r w:rsidR="00235A89" w:rsidRPr="00EF00B5">
        <w:rPr>
          <w:vertAlign w:val="subscript"/>
        </w:rPr>
        <w:t>4</w:t>
      </w:r>
      <w:r w:rsidR="00235A89" w:rsidRPr="00235A89">
        <w:t>)</w:t>
      </w:r>
      <w:r w:rsidR="00235A89" w:rsidRPr="00EF00B5">
        <w:rPr>
          <w:vertAlign w:val="subscript"/>
        </w:rPr>
        <w:t>3</w:t>
      </w:r>
      <w:r w:rsidR="00235A89" w:rsidRPr="00235A89">
        <w:t xml:space="preserve">). The photocatalytic performance was tested by measuring the degradation of </w:t>
      </w:r>
      <w:r w:rsidR="00767D60" w:rsidRPr="00235A89">
        <w:t>nitrofurazone</w:t>
      </w:r>
      <w:r w:rsidR="00235A89" w:rsidRPr="00235A89">
        <w:t xml:space="preserve"> under </w:t>
      </w:r>
      <w:r w:rsidR="003E30C8">
        <w:rPr>
          <w:lang w:val="uz-Latn-UZ"/>
        </w:rPr>
        <w:t>solar</w:t>
      </w:r>
      <w:r w:rsidR="00235A89" w:rsidRPr="00235A89">
        <w:t xml:space="preserve"> irradiation in aqueous solution. The results confirmed that the tailored surface morphology and the Fe</w:t>
      </w:r>
      <w:r w:rsidR="00235A89" w:rsidRPr="00EF00B5">
        <w:rPr>
          <w:vertAlign w:val="subscript"/>
        </w:rPr>
        <w:t>2</w:t>
      </w:r>
      <w:r w:rsidR="00235A89" w:rsidRPr="00235A89">
        <w:t>(MoO</w:t>
      </w:r>
      <w:r w:rsidR="00235A89" w:rsidRPr="00EF00B5">
        <w:rPr>
          <w:vertAlign w:val="subscript"/>
        </w:rPr>
        <w:t>4</w:t>
      </w:r>
      <w:r w:rsidR="00235A89" w:rsidRPr="00235A89">
        <w:t>)</w:t>
      </w:r>
      <w:r w:rsidR="00235A89" w:rsidRPr="00EF00B5">
        <w:rPr>
          <w:vertAlign w:val="subscript"/>
        </w:rPr>
        <w:t>3</w:t>
      </w:r>
      <w:r w:rsidR="00235A89" w:rsidRPr="00235A89">
        <w:t>/TiO</w:t>
      </w:r>
      <w:r w:rsidR="00235A89" w:rsidRPr="00EF00B5">
        <w:rPr>
          <w:vertAlign w:val="subscript"/>
        </w:rPr>
        <w:t>2</w:t>
      </w:r>
      <w:r w:rsidR="00235A89" w:rsidRPr="00235A89">
        <w:t xml:space="preserve"> heterojunction significantly suppressed the recombination of photogenerated electron-hole pairs, </w:t>
      </w:r>
      <w:r w:rsidR="000D26D7">
        <w:t>thereby enhancing degradation efficiency relative</w:t>
      </w:r>
      <w:r w:rsidR="00235A89" w:rsidRPr="00235A89">
        <w:t xml:space="preserve"> to pristine TiO</w:t>
      </w:r>
      <w:r w:rsidR="00235A89" w:rsidRPr="00EF00B5">
        <w:rPr>
          <w:vertAlign w:val="subscript"/>
        </w:rPr>
        <w:t>2</w:t>
      </w:r>
      <w:r w:rsidR="00235A89" w:rsidRPr="00235A89">
        <w:t>. The optimized T1.9/FM0.1 sample exhibited the highest activity, suggesting that the synergistic combination facilitates efficient charge-carrier separation.</w:t>
      </w:r>
    </w:p>
    <w:p w14:paraId="7F791B5A" w14:textId="13AFC19F" w:rsidR="000B4980" w:rsidRPr="00310CA8" w:rsidRDefault="00EB6924" w:rsidP="00310CA8">
      <w:pPr>
        <w:pStyle w:val="CETHeading1"/>
        <w:tabs>
          <w:tab w:val="num" w:pos="360"/>
        </w:tabs>
      </w:pPr>
      <w:r w:rsidRPr="00721A93">
        <w:rPr>
          <w:rFonts w:cs="Arial"/>
          <w:lang w:val="en-GB"/>
        </w:rPr>
        <w:t xml:space="preserve">1. </w:t>
      </w:r>
      <w:r w:rsidR="000B4980" w:rsidRPr="00310CA8">
        <w:t>Introduction</w:t>
      </w:r>
    </w:p>
    <w:p w14:paraId="46F29EE1" w14:textId="58586FCE" w:rsidR="00401AA5" w:rsidRPr="00C878D3" w:rsidRDefault="000B4980" w:rsidP="00C878D3">
      <w:pPr>
        <w:pStyle w:val="CETBodytext"/>
        <w:rPr>
          <w:lang w:val="en-GB"/>
        </w:rPr>
      </w:pPr>
      <w:r w:rsidRPr="00C878D3">
        <w:rPr>
          <w:lang w:val="en-GB"/>
        </w:rPr>
        <w:t xml:space="preserve">The rapid escalation of industrial activities and the subsequent discharge of complex organic micro-pollutants into aquatic ecosystems have emerged as a global environmental crisis (Li et al., 2021). Traditional wastewater treatment technologies often struggle to degrade persistent organic compounds, </w:t>
      </w:r>
      <w:r w:rsidR="00EF00B5" w:rsidRPr="00C878D3">
        <w:rPr>
          <w:lang w:val="en-GB"/>
        </w:rPr>
        <w:t>requiring</w:t>
      </w:r>
      <w:r w:rsidRPr="00C878D3">
        <w:rPr>
          <w:lang w:val="en-GB"/>
        </w:rPr>
        <w:t xml:space="preserve"> the development of advanced oxidation processes (AOPs)</w:t>
      </w:r>
      <w:r w:rsidR="007C50C8" w:rsidRPr="00C878D3">
        <w:rPr>
          <w:lang w:val="en-GB"/>
        </w:rPr>
        <w:t xml:space="preserve"> (Mammadov et</w:t>
      </w:r>
      <w:r w:rsidR="00650F51" w:rsidRPr="00C878D3">
        <w:rPr>
          <w:lang w:val="en-GB"/>
        </w:rPr>
        <w:t xml:space="preserve"> </w:t>
      </w:r>
      <w:r w:rsidR="007C50C8" w:rsidRPr="00C878D3">
        <w:rPr>
          <w:lang w:val="en-GB"/>
        </w:rPr>
        <w:t>al.,</w:t>
      </w:r>
      <w:r w:rsidR="002045FD" w:rsidRPr="00C878D3">
        <w:rPr>
          <w:lang w:val="en-GB"/>
        </w:rPr>
        <w:t xml:space="preserve"> </w:t>
      </w:r>
      <w:r w:rsidR="007C50C8" w:rsidRPr="00C878D3">
        <w:rPr>
          <w:lang w:val="en-GB"/>
        </w:rPr>
        <w:t>201</w:t>
      </w:r>
      <w:r w:rsidR="00F82522" w:rsidRPr="00C878D3">
        <w:rPr>
          <w:lang w:val="en-GB"/>
        </w:rPr>
        <w:t>7</w:t>
      </w:r>
      <w:r w:rsidR="007C50C8" w:rsidRPr="00C878D3">
        <w:rPr>
          <w:lang w:val="en-GB"/>
        </w:rPr>
        <w:t>)</w:t>
      </w:r>
      <w:r w:rsidRPr="00C878D3">
        <w:rPr>
          <w:lang w:val="en-GB"/>
        </w:rPr>
        <w:t>. Among these, semiconductor-based heterogeneous photocatalysis has gained significant attention as a sustainable and cost-effective remediation strategy (Lettieri et al., 2021). Titanium dioxide (TiO</w:t>
      </w:r>
      <w:r w:rsidR="00EF00B5" w:rsidRPr="00EF00B5">
        <w:rPr>
          <w:vertAlign w:val="subscript"/>
        </w:rPr>
        <w:t>2</w:t>
      </w:r>
      <w:r w:rsidRPr="00C878D3">
        <w:rPr>
          <w:lang w:val="en-GB"/>
        </w:rPr>
        <w:t>), particularly in its anatase phase, remains the most widely investigated photocatalyst due to its exceptional chemical stability, non-toxicity, and high photo-oxidative potential (Li et al., 2021).</w:t>
      </w:r>
      <w:r w:rsidR="00EF00B5" w:rsidRPr="00EF00B5">
        <w:t xml:space="preserve"> </w:t>
      </w:r>
      <w:r w:rsidRPr="00C878D3">
        <w:rPr>
          <w:lang w:val="en-GB"/>
        </w:rPr>
        <w:t>Despite these advantages, the practical application of pristine TiO</w:t>
      </w:r>
      <w:r w:rsidRPr="00EF00B5">
        <w:rPr>
          <w:vertAlign w:val="subscript"/>
          <w:lang w:val="en-GB"/>
        </w:rPr>
        <w:t>2</w:t>
      </w:r>
      <w:r w:rsidRPr="00C878D3">
        <w:rPr>
          <w:lang w:val="en-GB"/>
        </w:rPr>
        <w:t xml:space="preserve"> is severely constrained by its wide intrinsic bandgap (E</w:t>
      </w:r>
      <w:r w:rsidRPr="00EF00B5">
        <w:rPr>
          <w:vertAlign w:val="subscript"/>
          <w:lang w:val="en-GB"/>
        </w:rPr>
        <w:t>g</w:t>
      </w:r>
      <w:r w:rsidRPr="00C878D3">
        <w:rPr>
          <w:lang w:val="en-GB"/>
        </w:rPr>
        <w:t xml:space="preserve"> = 3.2</w:t>
      </w:r>
      <w:r w:rsidR="004902A4" w:rsidRPr="00C878D3">
        <w:rPr>
          <w:lang w:val="en-GB"/>
        </w:rPr>
        <w:t xml:space="preserve"> </w:t>
      </w:r>
      <w:r w:rsidRPr="00C878D3">
        <w:rPr>
          <w:lang w:val="en-GB"/>
        </w:rPr>
        <w:t>eV), which limits activation to the ultraviolet spectrum, and the rapid recombination of photogenerated electron-hole pairs (Cabezuelo et al., 2023). Recent research has demonstrated that these limitations can be overcome through interface engineering. Specifically, the construction of heterojunctions by coupling TiO</w:t>
      </w:r>
      <w:r w:rsidRPr="00553D1A">
        <w:rPr>
          <w:vertAlign w:val="subscript"/>
          <w:lang w:val="en-GB"/>
        </w:rPr>
        <w:t>2</w:t>
      </w:r>
      <w:r w:rsidRPr="00C878D3">
        <w:rPr>
          <w:lang w:val="en-GB"/>
        </w:rPr>
        <w:t xml:space="preserve"> with narrow-bandgap semiconductors, such as iron-based molybdates, has proven effective in extending light absorption and enhancing charge carrier separation (Li et al., 2021). Radical intermediate studies using EPR spin-trapping have further confirmed that such heterostructures facilitate the generation of highly reactive species, specifically hydroxyl (</w:t>
      </w:r>
      <w:r w:rsidR="00EF00B5" w:rsidRPr="00EF00B5">
        <w:rPr>
          <w:vertAlign w:val="superscript"/>
        </w:rPr>
        <w:t>.</w:t>
      </w:r>
      <w:r w:rsidRPr="00C878D3">
        <w:rPr>
          <w:lang w:val="en-GB"/>
        </w:rPr>
        <w:t>OH) and superoxide (O</w:t>
      </w:r>
      <w:r w:rsidRPr="00EF00B5">
        <w:rPr>
          <w:vertAlign w:val="subscript"/>
          <w:lang w:val="en-GB"/>
        </w:rPr>
        <w:t>2</w:t>
      </w:r>
      <w:r w:rsidR="00ED06F8" w:rsidRPr="00553D1A">
        <w:rPr>
          <w:vertAlign w:val="superscript"/>
          <w:lang w:val="en-GB"/>
        </w:rPr>
        <w:t>.</w:t>
      </w:r>
      <w:r w:rsidRPr="00553D1A">
        <w:rPr>
          <w:vertAlign w:val="superscript"/>
          <w:lang w:val="en-GB"/>
        </w:rPr>
        <w:t>-</w:t>
      </w:r>
      <w:r w:rsidRPr="00C878D3">
        <w:rPr>
          <w:lang w:val="en-GB"/>
        </w:rPr>
        <w:t>) radicals, which are crucial for the mineralization of organic pollutants (Dvoranov</w:t>
      </w:r>
      <w:r w:rsidR="00786795" w:rsidRPr="00C878D3">
        <w:rPr>
          <w:lang w:val="en-GB"/>
        </w:rPr>
        <w:t>a</w:t>
      </w:r>
      <w:r w:rsidRPr="00C878D3">
        <w:rPr>
          <w:lang w:val="en-GB"/>
        </w:rPr>
        <w:t xml:space="preserve"> et al., 2014).</w:t>
      </w:r>
      <w:r w:rsidR="00EF00B5">
        <w:rPr>
          <w:lang w:val="en-GB"/>
        </w:rPr>
        <w:t xml:space="preserve"> </w:t>
      </w:r>
      <w:r w:rsidRPr="00C878D3">
        <w:rPr>
          <w:lang w:val="en-GB"/>
        </w:rPr>
        <w:lastRenderedPageBreak/>
        <w:t xml:space="preserve">Furthermore, the efficiency of photocatalytic reactions is profoundly influenced by the </w:t>
      </w:r>
      <w:r w:rsidR="00A07754">
        <w:rPr>
          <w:lang w:val="en-GB"/>
        </w:rPr>
        <w:t>catalyst's morphology</w:t>
      </w:r>
      <w:r w:rsidR="00873655" w:rsidRPr="00C878D3">
        <w:rPr>
          <w:lang w:val="en-GB"/>
        </w:rPr>
        <w:t xml:space="preserve"> (Montoya-Bautista et al., 2019)</w:t>
      </w:r>
      <w:r w:rsidRPr="00C878D3">
        <w:rPr>
          <w:lang w:val="en-GB"/>
        </w:rPr>
        <w:t>. Tailoring the surface properties and shape of TiO</w:t>
      </w:r>
      <w:r w:rsidRPr="005C4F05">
        <w:rPr>
          <w:vertAlign w:val="subscript"/>
          <w:lang w:val="en-GB"/>
        </w:rPr>
        <w:t>2</w:t>
      </w:r>
      <w:r w:rsidRPr="00C878D3">
        <w:rPr>
          <w:lang w:val="en-GB"/>
        </w:rPr>
        <w:t xml:space="preserve"> nanoparticles allows for the optimization of active site exposure and light-harvesting capabilities (Torelli, 2015</w:t>
      </w:r>
      <w:r w:rsidR="0015324D" w:rsidRPr="00C878D3">
        <w:rPr>
          <w:lang w:val="en-GB"/>
        </w:rPr>
        <w:t>, Yeung et al.</w:t>
      </w:r>
      <w:r w:rsidR="002045FD" w:rsidRPr="00C878D3">
        <w:rPr>
          <w:lang w:val="en-GB"/>
        </w:rPr>
        <w:t>,</w:t>
      </w:r>
      <w:r w:rsidR="0015324D" w:rsidRPr="00C878D3">
        <w:rPr>
          <w:lang w:val="en-GB"/>
        </w:rPr>
        <w:t xml:space="preserve"> 2003</w:t>
      </w:r>
      <w:r w:rsidRPr="00C878D3">
        <w:rPr>
          <w:lang w:val="en-GB"/>
        </w:rPr>
        <w:t>). Beyond performance, the sustainability of photocatalyst production has become a key focus. The valorization of industrial solid wastes as secondary precursors for synthesizing high-value materials</w:t>
      </w:r>
      <w:r w:rsidR="00C54197" w:rsidRPr="00C878D3">
        <w:rPr>
          <w:lang w:val="en-GB"/>
        </w:rPr>
        <w:t xml:space="preserve"> (Sugra</w:t>
      </w:r>
      <w:r w:rsidR="00255717" w:rsidRPr="00C878D3">
        <w:rPr>
          <w:lang w:val="en-GB"/>
        </w:rPr>
        <w:t>n</w:t>
      </w:r>
      <w:r w:rsidR="00C54197" w:rsidRPr="00C878D3">
        <w:rPr>
          <w:lang w:val="en-GB"/>
        </w:rPr>
        <w:t>ez et al., 2013)</w:t>
      </w:r>
      <w:r w:rsidRPr="00C878D3">
        <w:rPr>
          <w:lang w:val="en-GB"/>
        </w:rPr>
        <w:t>, such as molybdenum-based oxides, aligns with the principles of the circular economy, reducing both production costs and environmental footprints (Tursunova et al., 202</w:t>
      </w:r>
      <w:r w:rsidR="000C75FF" w:rsidRPr="00C878D3">
        <w:rPr>
          <w:lang w:val="en-GB"/>
        </w:rPr>
        <w:t>5</w:t>
      </w:r>
      <w:r w:rsidR="00566363" w:rsidRPr="00C878D3">
        <w:rPr>
          <w:lang w:val="en-GB"/>
        </w:rPr>
        <w:t>a</w:t>
      </w:r>
      <w:r w:rsidRPr="00C878D3">
        <w:rPr>
          <w:lang w:val="en-GB"/>
        </w:rPr>
        <w:t>).</w:t>
      </w:r>
      <w:r w:rsidR="00CE0EEE" w:rsidRPr="00C878D3">
        <w:rPr>
          <w:lang w:val="en-GB"/>
        </w:rPr>
        <w:t xml:space="preserve"> </w:t>
      </w:r>
      <w:r w:rsidRPr="00C878D3">
        <w:rPr>
          <w:lang w:val="en-GB"/>
        </w:rPr>
        <w:t>Among various pollutants, Nitrofurazone (NFZ), a broad-spectrum nitrofuran antibiotic, has raised significant ecological concerns due to its persistence and potential carcinogenic effects. Recent investigations have highlighted the necessity of developing efficient photocatalytic systems specifically tailored for the rapid mineralization of NFZ using mixed-oxide composites (</w:t>
      </w:r>
      <w:r w:rsidR="00EA64B0" w:rsidRPr="00C878D3">
        <w:rPr>
          <w:lang w:val="en-GB"/>
        </w:rPr>
        <w:t>La</w:t>
      </w:r>
      <w:r w:rsidR="00762E7E" w:rsidRPr="00C878D3">
        <w:rPr>
          <w:lang w:val="en-GB"/>
        </w:rPr>
        <w:t>o</w:t>
      </w:r>
      <w:r w:rsidR="00EA64B0" w:rsidRPr="00C878D3">
        <w:rPr>
          <w:lang w:val="en-GB"/>
        </w:rPr>
        <w:t>ufi et al.,</w:t>
      </w:r>
      <w:r w:rsidR="002045FD" w:rsidRPr="00C878D3">
        <w:rPr>
          <w:lang w:val="en-GB"/>
        </w:rPr>
        <w:t xml:space="preserve"> </w:t>
      </w:r>
      <w:r w:rsidR="00EA64B0" w:rsidRPr="00C878D3">
        <w:rPr>
          <w:lang w:val="en-GB"/>
        </w:rPr>
        <w:t xml:space="preserve">2013, </w:t>
      </w:r>
      <w:r w:rsidRPr="00C878D3">
        <w:rPr>
          <w:lang w:val="en-GB"/>
        </w:rPr>
        <w:t>Tursunova et al., 2025</w:t>
      </w:r>
      <w:r w:rsidR="00566363" w:rsidRPr="00C878D3">
        <w:rPr>
          <w:lang w:val="en-GB"/>
        </w:rPr>
        <w:t>b</w:t>
      </w:r>
      <w:r w:rsidRPr="00C878D3">
        <w:rPr>
          <w:lang w:val="en-GB"/>
        </w:rPr>
        <w:t xml:space="preserve">). </w:t>
      </w:r>
    </w:p>
    <w:p w14:paraId="5E646A0B" w14:textId="76D2853A" w:rsidR="001A7900" w:rsidRPr="00C878D3" w:rsidRDefault="005F3C16" w:rsidP="006E596E">
      <w:pPr>
        <w:pStyle w:val="CETBodytext"/>
        <w:rPr>
          <w:lang w:val="en-GB"/>
        </w:rPr>
      </w:pPr>
      <w:r>
        <w:rPr>
          <w:lang w:val="en-GB"/>
        </w:rPr>
        <w:t>In this study, a novel approach is reported for tailoring the surface morphology of TiO</w:t>
      </w:r>
      <w:r w:rsidRPr="005F3C16">
        <w:rPr>
          <w:vertAlign w:val="subscript"/>
          <w:lang w:val="en-GB"/>
        </w:rPr>
        <w:t>2</w:t>
      </w:r>
      <w:r>
        <w:rPr>
          <w:lang w:val="en-GB"/>
        </w:rPr>
        <w:t>/Fe</w:t>
      </w:r>
      <w:r w:rsidRPr="005F3C16">
        <w:rPr>
          <w:vertAlign w:val="subscript"/>
          <w:lang w:val="en-GB"/>
        </w:rPr>
        <w:t>2</w:t>
      </w:r>
      <w:r>
        <w:rPr>
          <w:lang w:val="en-GB"/>
        </w:rPr>
        <w:t>(MoO</w:t>
      </w:r>
      <w:r w:rsidRPr="005F3C16">
        <w:rPr>
          <w:vertAlign w:val="subscript"/>
          <w:lang w:val="en-GB"/>
        </w:rPr>
        <w:t>4</w:t>
      </w:r>
      <w:r>
        <w:rPr>
          <w:lang w:val="en-GB"/>
        </w:rPr>
        <w:t>)</w:t>
      </w:r>
      <w:r w:rsidRPr="005F3C16">
        <w:rPr>
          <w:vertAlign w:val="subscript"/>
          <w:lang w:val="en-GB"/>
        </w:rPr>
        <w:t>3</w:t>
      </w:r>
      <w:r>
        <w:rPr>
          <w:lang w:val="en-GB"/>
        </w:rPr>
        <w:t xml:space="preserve"> composites synthesized via a precise thermal diffusion route. Unlike conventional liquid-phase methods, this approach yields a robust, well-defined heterojunction interface. This work specifically investigates the structural transition from TiO</w:t>
      </w:r>
      <w:r w:rsidRPr="005F3C16">
        <w:rPr>
          <w:vertAlign w:val="subscript"/>
          <w:lang w:val="en-GB"/>
        </w:rPr>
        <w:t>2</w:t>
      </w:r>
      <w:r>
        <w:rPr>
          <w:lang w:val="en-GB"/>
        </w:rPr>
        <w:t xml:space="preserve"> spherical microstructures to highly textured Fe</w:t>
      </w:r>
      <w:r w:rsidRPr="005F3C16">
        <w:rPr>
          <w:vertAlign w:val="subscript"/>
          <w:lang w:val="en-GB"/>
        </w:rPr>
        <w:t>2</w:t>
      </w:r>
      <w:r>
        <w:rPr>
          <w:lang w:val="en-GB"/>
        </w:rPr>
        <w:t>(MoO</w:t>
      </w:r>
      <w:r w:rsidRPr="005F3C16">
        <w:rPr>
          <w:vertAlign w:val="subscript"/>
          <w:lang w:val="en-GB"/>
        </w:rPr>
        <w:t>4</w:t>
      </w:r>
      <w:r>
        <w:rPr>
          <w:lang w:val="en-GB"/>
        </w:rPr>
        <w:t>)</w:t>
      </w:r>
      <w:r w:rsidRPr="005F3C16">
        <w:rPr>
          <w:vertAlign w:val="subscript"/>
          <w:lang w:val="en-GB"/>
        </w:rPr>
        <w:t>3</w:t>
      </w:r>
      <w:r>
        <w:rPr>
          <w:lang w:val="en-GB"/>
        </w:rPr>
        <w:t xml:space="preserve"> clusters and evaluates their synergistic effect on the solar-light-driven degradation of Nitrofurazone.</w:t>
      </w:r>
    </w:p>
    <w:p w14:paraId="5D91D485" w14:textId="68A84B5D" w:rsidR="00C803A5" w:rsidRPr="00721A93" w:rsidRDefault="00EB6924" w:rsidP="002551AF">
      <w:pPr>
        <w:pStyle w:val="CETHeading1"/>
        <w:tabs>
          <w:tab w:val="left" w:pos="0"/>
          <w:tab w:val="num" w:pos="360"/>
        </w:tabs>
        <w:rPr>
          <w:rFonts w:cs="Arial"/>
        </w:rPr>
      </w:pPr>
      <w:r w:rsidRPr="00721A93">
        <w:rPr>
          <w:rFonts w:cs="Arial"/>
        </w:rPr>
        <w:t xml:space="preserve">2. </w:t>
      </w:r>
      <w:r w:rsidR="001A7900" w:rsidRPr="00795E7A">
        <w:t xml:space="preserve">Materials </w:t>
      </w:r>
      <w:r w:rsidR="00762E7E" w:rsidRPr="00795E7A">
        <w:t>a</w:t>
      </w:r>
      <w:r w:rsidR="001A7900" w:rsidRPr="00795E7A">
        <w:t>nd Methods</w:t>
      </w:r>
    </w:p>
    <w:p w14:paraId="5F3C6C61" w14:textId="010FFE0C" w:rsidR="00500695" w:rsidRPr="005F5878" w:rsidRDefault="00500695" w:rsidP="005F5878">
      <w:pPr>
        <w:pStyle w:val="CETheadingx"/>
      </w:pPr>
      <w:r w:rsidRPr="00721A93">
        <w:rPr>
          <w:rFonts w:cs="Arial"/>
        </w:rPr>
        <w:t xml:space="preserve">2.1. </w:t>
      </w:r>
      <w:r w:rsidRPr="005F5878">
        <w:t>Raw Materials and Reagents</w:t>
      </w:r>
    </w:p>
    <w:p w14:paraId="17491670" w14:textId="6440B6F7" w:rsidR="00C803A5" w:rsidRPr="00795E7A" w:rsidRDefault="00500695" w:rsidP="00795E7A">
      <w:pPr>
        <w:pStyle w:val="CETBodytext"/>
        <w:rPr>
          <w:lang w:val="en-GB"/>
        </w:rPr>
      </w:pPr>
      <w:r w:rsidRPr="00795E7A">
        <w:rPr>
          <w:lang w:val="en-GB"/>
        </w:rPr>
        <w:t xml:space="preserve">In this study, industrial solid </w:t>
      </w:r>
      <w:r w:rsidR="00A07754">
        <w:rPr>
          <w:lang w:val="en-GB"/>
        </w:rPr>
        <w:t>waste was used as the primary precursor</w:t>
      </w:r>
      <w:r w:rsidRPr="00795E7A">
        <w:rPr>
          <w:lang w:val="en-GB"/>
        </w:rPr>
        <w:t xml:space="preserve"> for synthesi</w:t>
      </w:r>
      <w:r w:rsidR="0053329A">
        <w:rPr>
          <w:lang w:val="en-GB"/>
        </w:rPr>
        <w:t>zing</w:t>
      </w:r>
      <w:r w:rsidRPr="00795E7A">
        <w:rPr>
          <w:lang w:val="en-GB"/>
        </w:rPr>
        <w:t xml:space="preserve"> composite photocatalysts. Metallurgical solid waste obtained from the Almalyk Mining and Metallurgical Complex (AMMC) served as the source for iron molybdate (FM), while industrial waste from the Shurtan Gas Chemical Complex was employed as the source for titanium dioxide (TiO</w:t>
      </w:r>
      <w:r w:rsidRPr="00AA327B">
        <w:rPr>
          <w:vertAlign w:val="subscript"/>
          <w:lang w:val="en-GB"/>
        </w:rPr>
        <w:t>2</w:t>
      </w:r>
      <w:r w:rsidRPr="00795E7A">
        <w:rPr>
          <w:lang w:val="en-GB"/>
        </w:rPr>
        <w:t>). All other chemical reagents used for pH adjustment and cleaning were of analytical grade and used without further purification.</w:t>
      </w:r>
    </w:p>
    <w:p w14:paraId="7F4B411C" w14:textId="54568C16" w:rsidR="00500695" w:rsidRPr="00721A93" w:rsidRDefault="00500695" w:rsidP="002551AF">
      <w:pPr>
        <w:pStyle w:val="CETheadingx"/>
        <w:tabs>
          <w:tab w:val="left" w:pos="0"/>
        </w:tabs>
        <w:rPr>
          <w:rFonts w:cs="Arial"/>
        </w:rPr>
      </w:pPr>
      <w:r w:rsidRPr="00721A93">
        <w:rPr>
          <w:rFonts w:cs="Arial"/>
        </w:rPr>
        <w:t xml:space="preserve">2.2. </w:t>
      </w:r>
      <w:r w:rsidRPr="00795E7A">
        <w:t>Synthesis of Photocatalytic Materials from Industrial Waste</w:t>
      </w:r>
    </w:p>
    <w:p w14:paraId="2DE9E0AA" w14:textId="3494CFE1" w:rsidR="004F5768" w:rsidRPr="00721A93" w:rsidRDefault="00500695" w:rsidP="004F5768">
      <w:pPr>
        <w:pStyle w:val="aff1"/>
        <w:tabs>
          <w:tab w:val="left" w:pos="0"/>
        </w:tabs>
        <w:rPr>
          <w:rFonts w:cs="Arial"/>
          <w:sz w:val="18"/>
          <w:szCs w:val="18"/>
        </w:rPr>
      </w:pPr>
      <w:r w:rsidRPr="00721A93">
        <w:rPr>
          <w:rFonts w:cs="Arial"/>
          <w:sz w:val="18"/>
          <w:szCs w:val="18"/>
        </w:rPr>
        <w:t xml:space="preserve">The industrial solid wastes were first processed in a ball mill to obtain a fine powder. To investigate the effect of composition on photocatalytic performance, the powdered precursors were mixed in various stoichiometric ratios. In these formulations, </w:t>
      </w:r>
      <w:r w:rsidRPr="00721A93">
        <w:rPr>
          <w:rStyle w:val="math-inline"/>
          <w:rFonts w:cs="Arial"/>
          <w:sz w:val="18"/>
          <w:szCs w:val="18"/>
        </w:rPr>
        <w:t>TiO</w:t>
      </w:r>
      <w:r w:rsidRPr="00721A93">
        <w:rPr>
          <w:rStyle w:val="math-inline"/>
          <w:rFonts w:cs="Arial"/>
          <w:sz w:val="18"/>
          <w:szCs w:val="18"/>
          <w:vertAlign w:val="subscript"/>
        </w:rPr>
        <w:t>2</w:t>
      </w:r>
      <w:r w:rsidRPr="00721A93">
        <w:rPr>
          <w:rFonts w:cs="Arial"/>
          <w:sz w:val="18"/>
          <w:szCs w:val="18"/>
        </w:rPr>
        <w:t xml:space="preserve"> was maintained as the primary matrix</w:t>
      </w:r>
      <w:r w:rsidR="006B077E">
        <w:rPr>
          <w:rFonts w:cs="Arial"/>
          <w:sz w:val="18"/>
          <w:szCs w:val="18"/>
        </w:rPr>
        <w:t xml:space="preserve"> (T)</w:t>
      </w:r>
      <w:r w:rsidRPr="00721A93">
        <w:rPr>
          <w:rFonts w:cs="Arial"/>
          <w:sz w:val="18"/>
          <w:szCs w:val="18"/>
        </w:rPr>
        <w:t>, while the mass fraction of iron molybdate</w:t>
      </w:r>
      <w:r w:rsidR="006B077E">
        <w:rPr>
          <w:rFonts w:cs="Arial"/>
          <w:sz w:val="18"/>
          <w:szCs w:val="18"/>
        </w:rPr>
        <w:t xml:space="preserve"> (FM)</w:t>
      </w:r>
      <w:r w:rsidRPr="00721A93">
        <w:rPr>
          <w:rFonts w:cs="Arial"/>
          <w:sz w:val="18"/>
          <w:szCs w:val="18"/>
        </w:rPr>
        <w:t xml:space="preserve"> was systematically decreased.</w:t>
      </w:r>
      <w:r w:rsidR="00FD7D0C" w:rsidRPr="00721A93">
        <w:rPr>
          <w:rFonts w:cs="Arial"/>
          <w:sz w:val="18"/>
          <w:szCs w:val="18"/>
        </w:rPr>
        <w:t xml:space="preserve"> </w:t>
      </w:r>
      <w:r w:rsidR="008E0228" w:rsidRPr="008E0228">
        <w:rPr>
          <w:rFonts w:cs="Arial"/>
          <w:sz w:val="18"/>
          <w:szCs w:val="18"/>
          <w:lang w:val="en-US" w:eastAsia="ru-RU"/>
        </w:rPr>
        <w:t xml:space="preserve">To synthesize the composites, </w:t>
      </w:r>
      <w:r w:rsidR="00A07754">
        <w:rPr>
          <w:rFonts w:cs="Arial"/>
          <w:sz w:val="18"/>
          <w:szCs w:val="18"/>
          <w:lang w:val="en-US" w:eastAsia="ru-RU"/>
        </w:rPr>
        <w:t xml:space="preserve">the prepared mixtures were subjected to </w:t>
      </w:r>
      <w:r w:rsidR="008E0228" w:rsidRPr="008E0228">
        <w:rPr>
          <w:rFonts w:cs="Arial"/>
          <w:sz w:val="18"/>
          <w:szCs w:val="18"/>
          <w:lang w:val="en-US" w:eastAsia="ru-RU"/>
        </w:rPr>
        <w:t xml:space="preserve">solid-state thermal treatment in a muffle furnace at 600 °C for 5 h. </w:t>
      </w:r>
      <w:r w:rsidR="004F5768" w:rsidRPr="00721A93">
        <w:rPr>
          <w:rFonts w:cs="Arial"/>
          <w:sz w:val="18"/>
          <w:szCs w:val="18"/>
        </w:rPr>
        <w:t>This thermal diffusion process facilitated the phase formation of iron molybdate (</w:t>
      </w:r>
      <w:r w:rsidR="004F5768" w:rsidRPr="00721A93">
        <w:rPr>
          <w:rStyle w:val="math-inline"/>
          <w:rFonts w:cs="Arial"/>
          <w:sz w:val="18"/>
          <w:szCs w:val="18"/>
        </w:rPr>
        <w:t>Fe</w:t>
      </w:r>
      <w:r w:rsidR="004F5768" w:rsidRPr="00721A93">
        <w:rPr>
          <w:rStyle w:val="math-inline"/>
          <w:rFonts w:cs="Arial"/>
          <w:sz w:val="18"/>
          <w:szCs w:val="18"/>
          <w:vertAlign w:val="subscript"/>
        </w:rPr>
        <w:t>2</w:t>
      </w:r>
      <w:r w:rsidR="004F5768" w:rsidRPr="00721A93">
        <w:rPr>
          <w:rStyle w:val="math-inline"/>
          <w:rFonts w:cs="Arial"/>
          <w:sz w:val="18"/>
          <w:szCs w:val="18"/>
        </w:rPr>
        <w:t>(MoO</w:t>
      </w:r>
      <w:r w:rsidR="004F5768" w:rsidRPr="00721A93">
        <w:rPr>
          <w:rStyle w:val="math-inline"/>
          <w:rFonts w:cs="Arial"/>
          <w:sz w:val="18"/>
          <w:szCs w:val="18"/>
          <w:vertAlign w:val="subscript"/>
        </w:rPr>
        <w:t>4</w:t>
      </w:r>
      <w:r w:rsidR="004F5768" w:rsidRPr="00721A93">
        <w:rPr>
          <w:rStyle w:val="math-inline"/>
          <w:rFonts w:cs="Arial"/>
          <w:sz w:val="18"/>
          <w:szCs w:val="18"/>
        </w:rPr>
        <w:t>)</w:t>
      </w:r>
      <w:r w:rsidR="004F5768" w:rsidRPr="00721A93">
        <w:rPr>
          <w:rStyle w:val="math-inline"/>
          <w:rFonts w:cs="Arial"/>
          <w:sz w:val="18"/>
          <w:szCs w:val="18"/>
          <w:vertAlign w:val="subscript"/>
        </w:rPr>
        <w:t>3</w:t>
      </w:r>
      <w:r w:rsidR="004F5768" w:rsidRPr="00721A93">
        <w:rPr>
          <w:rFonts w:cs="Arial"/>
          <w:sz w:val="18"/>
          <w:szCs w:val="18"/>
        </w:rPr>
        <w:t xml:space="preserve">) and the creation of a robust heterojunction interface with the </w:t>
      </w:r>
      <w:r w:rsidR="004F5768" w:rsidRPr="00721A93">
        <w:rPr>
          <w:rStyle w:val="math-inline"/>
          <w:rFonts w:cs="Arial"/>
          <w:sz w:val="18"/>
          <w:szCs w:val="18"/>
        </w:rPr>
        <w:t>TiO</w:t>
      </w:r>
      <w:r w:rsidR="004F5768" w:rsidRPr="00721A93">
        <w:rPr>
          <w:rStyle w:val="math-inline"/>
          <w:rFonts w:cs="Arial"/>
          <w:sz w:val="18"/>
          <w:szCs w:val="18"/>
          <w:vertAlign w:val="subscript"/>
        </w:rPr>
        <w:t>2</w:t>
      </w:r>
      <w:r w:rsidR="004F5768" w:rsidRPr="00721A93">
        <w:rPr>
          <w:rFonts w:cs="Arial"/>
          <w:sz w:val="18"/>
          <w:szCs w:val="18"/>
        </w:rPr>
        <w:t xml:space="preserve"> support. Based on the weight ratios of </w:t>
      </w:r>
      <w:r w:rsidR="004F5768" w:rsidRPr="00721A93">
        <w:rPr>
          <w:rStyle w:val="math-inline"/>
          <w:rFonts w:cs="Arial"/>
          <w:sz w:val="18"/>
          <w:szCs w:val="18"/>
        </w:rPr>
        <w:t>TiO</w:t>
      </w:r>
      <w:r w:rsidR="004F5768" w:rsidRPr="00721A93">
        <w:rPr>
          <w:rStyle w:val="math-inline"/>
          <w:rFonts w:cs="Arial"/>
          <w:sz w:val="18"/>
          <w:szCs w:val="18"/>
          <w:vertAlign w:val="subscript"/>
        </w:rPr>
        <w:t>2</w:t>
      </w:r>
      <w:r w:rsidR="004F5768" w:rsidRPr="00721A93">
        <w:rPr>
          <w:rFonts w:cs="Arial"/>
          <w:sz w:val="18"/>
          <w:szCs w:val="18"/>
        </w:rPr>
        <w:t xml:space="preserve"> to </w:t>
      </w:r>
      <w:r w:rsidR="004F5768" w:rsidRPr="00721A93">
        <w:rPr>
          <w:rStyle w:val="math-inline"/>
          <w:rFonts w:cs="Arial"/>
          <w:sz w:val="18"/>
          <w:szCs w:val="18"/>
        </w:rPr>
        <w:t>Fe</w:t>
      </w:r>
      <w:r w:rsidR="004F5768" w:rsidRPr="00721A93">
        <w:rPr>
          <w:rStyle w:val="math-inline"/>
          <w:rFonts w:cs="Arial"/>
          <w:sz w:val="18"/>
          <w:szCs w:val="18"/>
          <w:vertAlign w:val="subscript"/>
        </w:rPr>
        <w:t>2</w:t>
      </w:r>
      <w:r w:rsidR="004F5768" w:rsidRPr="00721A93">
        <w:rPr>
          <w:rStyle w:val="math-inline"/>
          <w:rFonts w:cs="Arial"/>
          <w:sz w:val="18"/>
          <w:szCs w:val="18"/>
        </w:rPr>
        <w:t>(MoO</w:t>
      </w:r>
      <w:r w:rsidR="004F5768" w:rsidRPr="00721A93">
        <w:rPr>
          <w:rStyle w:val="math-inline"/>
          <w:rFonts w:cs="Arial"/>
          <w:sz w:val="18"/>
          <w:szCs w:val="18"/>
          <w:vertAlign w:val="subscript"/>
        </w:rPr>
        <w:t>4</w:t>
      </w:r>
      <w:r w:rsidR="004F5768" w:rsidRPr="00721A93">
        <w:rPr>
          <w:rStyle w:val="math-inline"/>
          <w:rFonts w:cs="Arial"/>
          <w:sz w:val="18"/>
          <w:szCs w:val="18"/>
        </w:rPr>
        <w:t>)</w:t>
      </w:r>
      <w:r w:rsidR="004F5768" w:rsidRPr="00721A93">
        <w:rPr>
          <w:rStyle w:val="math-inline"/>
          <w:rFonts w:cs="Arial"/>
          <w:sz w:val="18"/>
          <w:szCs w:val="18"/>
          <w:vertAlign w:val="subscript"/>
        </w:rPr>
        <w:t>3</w:t>
      </w:r>
      <w:r w:rsidR="004F5768" w:rsidRPr="00721A93">
        <w:rPr>
          <w:rFonts w:cs="Arial"/>
          <w:sz w:val="18"/>
          <w:szCs w:val="18"/>
        </w:rPr>
        <w:t xml:space="preserve">, the synthesized composites were </w:t>
      </w:r>
      <w:r w:rsidR="00340D83" w:rsidRPr="00721A93">
        <w:rPr>
          <w:rFonts w:cs="Arial"/>
          <w:sz w:val="18"/>
          <w:szCs w:val="18"/>
        </w:rPr>
        <w:t>labelled</w:t>
      </w:r>
      <w:r w:rsidR="004F5768" w:rsidRPr="00721A93">
        <w:rPr>
          <w:rFonts w:cs="Arial"/>
          <w:sz w:val="18"/>
          <w:szCs w:val="18"/>
        </w:rPr>
        <w:t xml:space="preserve"> as T1/FM1, T1.5/FM0.5, T1.75/FM0.25, and T1.9/FM0.1.</w:t>
      </w:r>
    </w:p>
    <w:p w14:paraId="323D99C9" w14:textId="69DDDCC3" w:rsidR="00500695" w:rsidRPr="00721A93" w:rsidRDefault="00500695" w:rsidP="005F5878">
      <w:pPr>
        <w:pStyle w:val="CETheadingx"/>
        <w:rPr>
          <w:rFonts w:cs="Arial"/>
        </w:rPr>
      </w:pPr>
      <w:r w:rsidRPr="00721A93">
        <w:rPr>
          <w:rFonts w:cs="Arial"/>
        </w:rPr>
        <w:t xml:space="preserve">2.3. </w:t>
      </w:r>
      <w:r w:rsidRPr="005F5878">
        <w:t>Photocatalytic Activity Testing</w:t>
      </w:r>
    </w:p>
    <w:p w14:paraId="73446138" w14:textId="74E876A2" w:rsidR="00053AC7" w:rsidRPr="00BB1AE6" w:rsidRDefault="00500695" w:rsidP="007C2D56">
      <w:pPr>
        <w:tabs>
          <w:tab w:val="clear" w:pos="7100"/>
        </w:tabs>
        <w:rPr>
          <w:lang w:val="en-US"/>
        </w:rPr>
      </w:pPr>
      <w:r w:rsidRPr="00BB1AE6">
        <w:rPr>
          <w:lang w:val="en-US"/>
        </w:rPr>
        <w:t xml:space="preserve">The photocatalytic efficiency of the synthesized samples (T1/FM1, T1.5/FM0.5, T1.75/FM0.25, and T1.9/FM0.1) was evaluated </w:t>
      </w:r>
      <w:r w:rsidR="0053329A">
        <w:rPr>
          <w:lang w:val="en-US"/>
        </w:rPr>
        <w:t>by degrading</w:t>
      </w:r>
      <w:r w:rsidRPr="00BB1AE6">
        <w:rPr>
          <w:lang w:val="en-US"/>
        </w:rPr>
        <w:t xml:space="preserve"> </w:t>
      </w:r>
      <w:r w:rsidR="00FD7D0C" w:rsidRPr="00BB1AE6">
        <w:rPr>
          <w:lang w:val="en-US"/>
        </w:rPr>
        <w:t>nitrofurazone</w:t>
      </w:r>
      <w:r w:rsidRPr="00BB1AE6">
        <w:rPr>
          <w:lang w:val="en-US"/>
        </w:rPr>
        <w:t xml:space="preserve"> in an aqueous solution under </w:t>
      </w:r>
      <w:r w:rsidR="00E26534" w:rsidRPr="00BB1AE6">
        <w:rPr>
          <w:lang w:val="en-US"/>
        </w:rPr>
        <w:t xml:space="preserve">UV </w:t>
      </w:r>
      <w:r w:rsidRPr="00BB1AE6">
        <w:rPr>
          <w:lang w:val="en-US"/>
        </w:rPr>
        <w:t xml:space="preserve">light irradiation. Specifically, a 0.01 mol/L </w:t>
      </w:r>
      <w:r w:rsidR="00BE1578">
        <w:rPr>
          <w:lang w:val="en-US"/>
        </w:rPr>
        <w:t>n</w:t>
      </w:r>
      <w:r w:rsidRPr="00BB1AE6">
        <w:rPr>
          <w:lang w:val="en-US"/>
        </w:rPr>
        <w:t>itrofurazone solution was used as the model pollutant.</w:t>
      </w:r>
      <w:r w:rsidR="00FD7D0C" w:rsidRPr="00BB1AE6">
        <w:rPr>
          <w:lang w:val="en-US"/>
        </w:rPr>
        <w:t xml:space="preserve"> </w:t>
      </w:r>
      <w:r w:rsidRPr="00BB1AE6">
        <w:rPr>
          <w:lang w:val="en-US"/>
        </w:rPr>
        <w:t xml:space="preserve">For each experiment, 1 g of the catalyst was dispersed into 100 mL of the pollutant solution. Prior to light exposure, the suspension was stirred in the dark for 30 min to establish adsorption-desorption equilibrium. </w:t>
      </w:r>
      <w:r w:rsidR="0008610D" w:rsidRPr="00BB1AE6">
        <w:rPr>
          <w:lang w:val="en-US"/>
        </w:rPr>
        <w:t xml:space="preserve">The photocatalytic degradation experiments were carried out under irradiation using a commercial </w:t>
      </w:r>
      <w:r w:rsidR="00A474D1" w:rsidRPr="00A474D1">
        <w:t>Asahi HAL-32</w:t>
      </w:r>
      <w:r w:rsidR="00AB32A3">
        <w:rPr>
          <w:lang w:val="uz-Cyrl-UZ"/>
        </w:rPr>
        <w:t>1</w:t>
      </w:r>
      <w:r w:rsidR="00A474D1" w:rsidRPr="00A474D1">
        <w:t xml:space="preserve"> Solar Simulator equipped with a 300 W compact xenon lamp</w:t>
      </w:r>
      <w:r w:rsidR="00D20490">
        <w:t xml:space="preserve"> </w:t>
      </w:r>
      <w:r w:rsidR="0023232D">
        <w:t>(wavelength range: 350 nm - 1200 nm)</w:t>
      </w:r>
      <w:r w:rsidR="0008610D" w:rsidRPr="00BB1AE6">
        <w:rPr>
          <w:lang w:val="en-US"/>
        </w:rPr>
        <w:t xml:space="preserve"> placed inside a custom-built reaction chamber</w:t>
      </w:r>
      <w:r w:rsidR="00AB32A3">
        <w:rPr>
          <w:rFonts w:eastAsia="MS Mincho" w:hint="eastAsia"/>
          <w:lang w:val="en-US" w:eastAsia="ja-JP"/>
        </w:rPr>
        <w:t xml:space="preserve"> (p</w:t>
      </w:r>
      <w:r w:rsidR="00AB32A3" w:rsidRPr="00AB32A3">
        <w:rPr>
          <w:rFonts w:eastAsia="MS Mincho"/>
          <w:lang w:eastAsia="ja-JP"/>
        </w:rPr>
        <w:t>ower density</w:t>
      </w:r>
      <w:r w:rsidR="00AB32A3">
        <w:rPr>
          <w:rFonts w:eastAsia="MS Mincho" w:hint="eastAsia"/>
          <w:lang w:eastAsia="ja-JP"/>
        </w:rPr>
        <w:t xml:space="preserve"> </w:t>
      </w:r>
      <w:r w:rsidR="00AB32A3" w:rsidRPr="00AB32A3">
        <w:rPr>
          <w:rFonts w:eastAsia="MS Mincho"/>
          <w:lang w:eastAsia="ja-JP"/>
        </w:rPr>
        <w:t>100 mW cm</w:t>
      </w:r>
      <w:r w:rsidR="00AB32A3" w:rsidRPr="00AB32A3">
        <w:rPr>
          <w:rFonts w:eastAsia="MS Mincho"/>
          <w:vertAlign w:val="superscript"/>
          <w:lang w:eastAsia="ja-JP"/>
        </w:rPr>
        <w:t>−2</w:t>
      </w:r>
      <w:r w:rsidR="00AB32A3" w:rsidRPr="00AB32A3">
        <w:rPr>
          <w:rFonts w:eastAsia="MS Mincho"/>
          <w:lang w:eastAsia="ja-JP"/>
        </w:rPr>
        <w:t xml:space="preserve">, </w:t>
      </w:r>
      <w:r w:rsidR="00AB32A3">
        <w:rPr>
          <w:rFonts w:eastAsia="MS Mincho" w:hint="eastAsia"/>
          <w:lang w:eastAsia="ja-JP"/>
        </w:rPr>
        <w:t>e</w:t>
      </w:r>
      <w:r w:rsidR="00AB32A3" w:rsidRPr="00AB32A3">
        <w:rPr>
          <w:rFonts w:eastAsia="MS Mincho"/>
          <w:lang w:eastAsia="ja-JP"/>
        </w:rPr>
        <w:t>xposed area 3×3 cm</w:t>
      </w:r>
      <w:r w:rsidR="00AB32A3" w:rsidRPr="00AB32A3">
        <w:rPr>
          <w:rFonts w:eastAsia="MS Mincho"/>
          <w:vertAlign w:val="superscript"/>
          <w:lang w:eastAsia="ja-JP"/>
        </w:rPr>
        <w:t>2</w:t>
      </w:r>
      <w:r w:rsidR="00AB32A3">
        <w:rPr>
          <w:rFonts w:eastAsia="MS Mincho" w:hint="eastAsia"/>
          <w:lang w:val="en-US" w:eastAsia="ja-JP"/>
        </w:rPr>
        <w:t>)</w:t>
      </w:r>
      <w:r w:rsidR="0008610D" w:rsidRPr="00BB1AE6">
        <w:rPr>
          <w:lang w:val="en-US"/>
        </w:rPr>
        <w:t>.</w:t>
      </w:r>
      <w:r w:rsidR="00AF6AC4" w:rsidRPr="00BB1AE6">
        <w:rPr>
          <w:lang w:val="en-US"/>
        </w:rPr>
        <w:t xml:space="preserve"> </w:t>
      </w:r>
      <w:r w:rsidRPr="00BB1AE6">
        <w:rPr>
          <w:lang w:val="en-US"/>
        </w:rPr>
        <w:t xml:space="preserve">At predetermined time intervals, aliquots were collected, and </w:t>
      </w:r>
      <w:r w:rsidR="00A07754">
        <w:rPr>
          <w:lang w:val="en-US"/>
        </w:rPr>
        <w:t>changes in pollutant concentration were monitored using a UV-fluorescence spectrometer</w:t>
      </w:r>
      <w:r w:rsidR="0084712E" w:rsidRPr="00BB1AE6">
        <w:rPr>
          <w:lang w:val="en-US"/>
        </w:rPr>
        <w:t xml:space="preserve"> (Duetta, Horiba, Japan)</w:t>
      </w:r>
      <w:r w:rsidR="008806EE" w:rsidRPr="00BB1AE6">
        <w:rPr>
          <w:lang w:val="en-US"/>
        </w:rPr>
        <w:t>.</w:t>
      </w:r>
      <w:r w:rsidR="00A70C02" w:rsidRPr="00BB1AE6">
        <w:rPr>
          <w:lang w:val="en-US"/>
        </w:rPr>
        <w:t xml:space="preserve"> </w:t>
      </w:r>
      <w:r w:rsidR="00053AC7" w:rsidRPr="00BB1AE6">
        <w:rPr>
          <w:lang w:val="en-US"/>
        </w:rPr>
        <w:t>The photodegradation rate constant (k</w:t>
      </w:r>
      <w:r w:rsidR="00053AC7" w:rsidRPr="00085D0C">
        <w:rPr>
          <w:vertAlign w:val="subscript"/>
          <w:lang w:val="en-US"/>
        </w:rPr>
        <w:t>app</w:t>
      </w:r>
      <w:r w:rsidR="00053AC7" w:rsidRPr="00BB1AE6">
        <w:rPr>
          <w:lang w:val="en-US"/>
        </w:rPr>
        <w:t>) was calculated using the pseudo-first-order kinetic model of Langmuir-Hinshelwood, expressed by the following equation:</w:t>
      </w:r>
    </w:p>
    <w:tbl>
      <w:tblPr>
        <w:tblStyle w:val="afffb"/>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684"/>
      </w:tblGrid>
      <w:tr w:rsidR="00945442" w:rsidRPr="00721A93" w14:paraId="41716703" w14:textId="77777777" w:rsidTr="006E596E">
        <w:trPr>
          <w:trHeight w:val="535"/>
        </w:trPr>
        <w:tc>
          <w:tcPr>
            <w:tcW w:w="4247" w:type="dxa"/>
          </w:tcPr>
          <w:p w14:paraId="33D7C44B" w14:textId="5B779B58" w:rsidR="00945442" w:rsidRPr="006E596E" w:rsidRDefault="001D4546" w:rsidP="006E596E">
            <w:pPr>
              <w:pStyle w:val="aff1"/>
              <w:tabs>
                <w:tab w:val="left" w:pos="0"/>
              </w:tabs>
              <w:spacing w:before="120" w:after="120"/>
              <w:rPr>
                <w:rFonts w:cs="Arial"/>
                <w:sz w:val="18"/>
                <w:szCs w:val="18"/>
              </w:rPr>
            </w:pPr>
            <m:oMathPara>
              <m:oMathParaPr>
                <m:jc m:val="center"/>
              </m:oMathParaPr>
              <m:oMath>
                <m:func>
                  <m:funcPr>
                    <m:ctrlPr>
                      <w:rPr>
                        <w:rFonts w:ascii="Cambria Math" w:hAnsi="Cambria Math" w:cs="Arial"/>
                        <w:i/>
                        <w:sz w:val="18"/>
                        <w:szCs w:val="18"/>
                      </w:rPr>
                    </m:ctrlPr>
                  </m:funcPr>
                  <m:fName>
                    <m:r>
                      <w:rPr>
                        <w:rFonts w:ascii="Cambria Math" w:hAnsi="Cambria Math" w:cs="Arial"/>
                        <w:sz w:val="18"/>
                        <w:szCs w:val="18"/>
                      </w:rPr>
                      <m:t>ln</m:t>
                    </m:r>
                  </m:fName>
                  <m:e>
                    <m:d>
                      <m:dPr>
                        <m:ctrlPr>
                          <w:rPr>
                            <w:rFonts w:ascii="Cambria Math" w:hAnsi="Cambria Math" w:cs="Arial"/>
                            <w:i/>
                            <w:sz w:val="18"/>
                            <w:szCs w:val="18"/>
                          </w:rPr>
                        </m:ctrlPr>
                      </m:dPr>
                      <m:e>
                        <m:f>
                          <m:fPr>
                            <m:ctrlPr>
                              <w:rPr>
                                <w:rFonts w:ascii="Cambria Math" w:hAnsi="Cambria Math" w:cs="Arial"/>
                                <w:i/>
                                <w:sz w:val="18"/>
                                <w:szCs w:val="18"/>
                              </w:rPr>
                            </m:ctrlPr>
                          </m:fPr>
                          <m:num>
                            <m:sSub>
                              <m:sSubPr>
                                <m:ctrlPr>
                                  <w:rPr>
                                    <w:rFonts w:ascii="Cambria Math" w:hAnsi="Cambria Math" w:cs="Arial"/>
                                    <w:i/>
                                    <w:sz w:val="18"/>
                                    <w:szCs w:val="18"/>
                                  </w:rPr>
                                </m:ctrlPr>
                              </m:sSubPr>
                              <m:e>
                                <m:r>
                                  <w:rPr>
                                    <w:rFonts w:ascii="Cambria Math" w:hAnsi="Cambria Math" w:cs="Arial"/>
                                    <w:sz w:val="18"/>
                                    <w:szCs w:val="18"/>
                                  </w:rPr>
                                  <m:t>C</m:t>
                                </m:r>
                              </m:e>
                              <m:sub>
                                <m:r>
                                  <w:rPr>
                                    <w:rFonts w:ascii="Cambria Math" w:hAnsi="Cambria Math" w:cs="Arial"/>
                                    <w:sz w:val="18"/>
                                    <w:szCs w:val="18"/>
                                  </w:rPr>
                                  <m:t>0</m:t>
                                </m:r>
                              </m:sub>
                            </m:sSub>
                          </m:num>
                          <m:den>
                            <m:r>
                              <w:rPr>
                                <w:rFonts w:ascii="Cambria Math" w:hAnsi="Cambria Math" w:cs="Arial"/>
                                <w:sz w:val="18"/>
                                <w:szCs w:val="18"/>
                              </w:rPr>
                              <m:t>C</m:t>
                            </m:r>
                          </m:den>
                        </m:f>
                      </m:e>
                    </m:d>
                  </m:e>
                </m:func>
                <m:r>
                  <w:rPr>
                    <w:rFonts w:ascii="Cambria Math" w:hAnsi="Cambria Math" w:cs="Arial"/>
                    <w:sz w:val="18"/>
                    <w:szCs w:val="18"/>
                  </w:rPr>
                  <m:t>=</m:t>
                </m:r>
                <m:sSub>
                  <m:sSubPr>
                    <m:ctrlPr>
                      <w:rPr>
                        <w:rFonts w:ascii="Cambria Math" w:hAnsi="Cambria Math" w:cs="Arial"/>
                        <w:i/>
                        <w:sz w:val="18"/>
                        <w:szCs w:val="18"/>
                      </w:rPr>
                    </m:ctrlPr>
                  </m:sSubPr>
                  <m:e>
                    <m:r>
                      <w:rPr>
                        <w:rFonts w:ascii="Cambria Math" w:hAnsi="Cambria Math" w:cs="Arial"/>
                        <w:sz w:val="18"/>
                        <w:szCs w:val="18"/>
                      </w:rPr>
                      <m:t>k</m:t>
                    </m:r>
                  </m:e>
                  <m:sub>
                    <m:r>
                      <m:rPr>
                        <m:sty m:val="p"/>
                      </m:rPr>
                      <w:rPr>
                        <w:rFonts w:ascii="Cambria Math" w:hAnsi="Cambria Math" w:cs="Arial"/>
                        <w:sz w:val="18"/>
                        <w:szCs w:val="18"/>
                      </w:rPr>
                      <m:t>app</m:t>
                    </m:r>
                  </m:sub>
                </m:sSub>
                <m:r>
                  <w:rPr>
                    <w:rFonts w:ascii="Cambria Math" w:hAnsi="Cambria Math" w:cs="Arial"/>
                    <w:sz w:val="18"/>
                    <w:szCs w:val="18"/>
                  </w:rPr>
                  <m:t xml:space="preserve"> · </m:t>
                </m:r>
                <m:r>
                  <w:rPr>
                    <w:rFonts w:ascii="Cambria Math" w:hAnsi="Cambria Math" w:cs="Arial"/>
                    <w:sz w:val="18"/>
                    <w:szCs w:val="18"/>
                  </w:rPr>
                  <m:t>t</m:t>
                </m:r>
              </m:oMath>
            </m:oMathPara>
          </w:p>
        </w:tc>
        <w:tc>
          <w:tcPr>
            <w:tcW w:w="4684" w:type="dxa"/>
          </w:tcPr>
          <w:p w14:paraId="77924516" w14:textId="357BB528" w:rsidR="00955C4C" w:rsidRPr="006E596E" w:rsidRDefault="00955C4C" w:rsidP="006E596E">
            <w:pPr>
              <w:pStyle w:val="aff1"/>
              <w:tabs>
                <w:tab w:val="left" w:pos="0"/>
              </w:tabs>
              <w:rPr>
                <w:rFonts w:cs="Arial"/>
                <w:sz w:val="18"/>
                <w:szCs w:val="18"/>
                <w:lang w:val="ru-RU"/>
              </w:rPr>
            </w:pPr>
          </w:p>
        </w:tc>
      </w:tr>
    </w:tbl>
    <w:p w14:paraId="74E0063E" w14:textId="77777777" w:rsidR="00827086" w:rsidRDefault="00955C4C" w:rsidP="006E596E">
      <w:pPr>
        <w:tabs>
          <w:tab w:val="clear" w:pos="7100"/>
        </w:tabs>
        <w:rPr>
          <w:rFonts w:cs="Arial"/>
          <w:szCs w:val="18"/>
          <w:lang w:val="en-US" w:eastAsia="ru-RU"/>
        </w:rPr>
      </w:pPr>
      <w:r w:rsidRPr="00955C4C">
        <w:rPr>
          <w:rFonts w:cs="Arial"/>
          <w:szCs w:val="18"/>
          <w:lang w:val="en-US" w:eastAsia="ru-RU"/>
        </w:rPr>
        <w:t>where C</w:t>
      </w:r>
      <w:r w:rsidRPr="00955C4C">
        <w:rPr>
          <w:rFonts w:cs="Arial"/>
          <w:szCs w:val="18"/>
          <w:vertAlign w:val="subscript"/>
          <w:lang w:val="en-US" w:eastAsia="ru-RU"/>
        </w:rPr>
        <w:t xml:space="preserve">0 </w:t>
      </w:r>
      <w:r w:rsidRPr="00955C4C">
        <w:rPr>
          <w:rFonts w:cs="Arial"/>
          <w:szCs w:val="18"/>
          <w:lang w:val="en-US" w:eastAsia="ru-RU"/>
        </w:rPr>
        <w:t>is the initial concentration of the pollutant after equilibrium (mol/L), C is the concentration at irradiation time t (mol/L), and k</w:t>
      </w:r>
      <w:r w:rsidRPr="00955C4C">
        <w:rPr>
          <w:rFonts w:cs="Arial"/>
          <w:szCs w:val="18"/>
          <w:vertAlign w:val="subscript"/>
          <w:lang w:val="en-US" w:eastAsia="ru-RU"/>
        </w:rPr>
        <w:t>app</w:t>
      </w:r>
      <w:r w:rsidRPr="00955C4C">
        <w:rPr>
          <w:rFonts w:cs="Arial"/>
          <w:szCs w:val="18"/>
          <w:lang w:val="en-US" w:eastAsia="ru-RU"/>
        </w:rPr>
        <w:t xml:space="preserve"> is the apparent rate constant (min</w:t>
      </w:r>
      <w:r w:rsidRPr="00955C4C">
        <w:rPr>
          <w:rFonts w:cs="Arial"/>
          <w:szCs w:val="18"/>
          <w:vertAlign w:val="superscript"/>
          <w:lang w:val="en-US" w:eastAsia="ru-RU"/>
        </w:rPr>
        <w:t>-1</w:t>
      </w:r>
      <w:r w:rsidRPr="00955C4C">
        <w:rPr>
          <w:rFonts w:cs="Arial"/>
          <w:szCs w:val="18"/>
          <w:lang w:val="en-US" w:eastAsia="ru-RU"/>
        </w:rPr>
        <w:t>).</w:t>
      </w:r>
    </w:p>
    <w:p w14:paraId="55C15F59" w14:textId="66195508" w:rsidR="00500695" w:rsidRPr="00AB32A3" w:rsidRDefault="00500695" w:rsidP="00AB32A3">
      <w:pPr>
        <w:pStyle w:val="CETheadingx"/>
        <w:rPr>
          <w:rFonts w:cs="Arial"/>
        </w:rPr>
      </w:pPr>
      <w:r w:rsidRPr="00AB32A3">
        <w:rPr>
          <w:rFonts w:cs="Arial"/>
        </w:rPr>
        <w:t>2.4. Physicochemical Characterization</w:t>
      </w:r>
    </w:p>
    <w:p w14:paraId="7673AB27" w14:textId="6664BB8E" w:rsidR="00500695" w:rsidRPr="00721A93" w:rsidRDefault="00500695" w:rsidP="007F6782">
      <w:pPr>
        <w:pStyle w:val="aff1"/>
        <w:tabs>
          <w:tab w:val="left" w:pos="0"/>
        </w:tabs>
        <w:rPr>
          <w:rFonts w:cs="Arial"/>
          <w:sz w:val="18"/>
          <w:szCs w:val="18"/>
        </w:rPr>
      </w:pPr>
      <w:r w:rsidRPr="00721A93">
        <w:rPr>
          <w:rFonts w:cs="Arial"/>
          <w:sz w:val="18"/>
          <w:szCs w:val="18"/>
        </w:rPr>
        <w:t xml:space="preserve">The structural and morphological properties of the composites were </w:t>
      </w:r>
      <w:r w:rsidR="006E596E">
        <w:rPr>
          <w:rFonts w:cs="Arial"/>
          <w:sz w:val="18"/>
          <w:szCs w:val="18"/>
        </w:rPr>
        <w:t>analyzed</w:t>
      </w:r>
      <w:r w:rsidRPr="00721A93">
        <w:rPr>
          <w:rFonts w:cs="Arial"/>
          <w:sz w:val="18"/>
          <w:szCs w:val="18"/>
        </w:rPr>
        <w:t xml:space="preserve"> using the following techniques:</w:t>
      </w:r>
    </w:p>
    <w:p w14:paraId="4E79DE7E" w14:textId="77BCF68C" w:rsidR="00500695" w:rsidRPr="00721A93" w:rsidRDefault="00500695" w:rsidP="00827086">
      <w:pPr>
        <w:pStyle w:val="aff1"/>
        <w:numPr>
          <w:ilvl w:val="0"/>
          <w:numId w:val="24"/>
        </w:numPr>
        <w:tabs>
          <w:tab w:val="clear" w:pos="720"/>
          <w:tab w:val="clear" w:pos="7100"/>
          <w:tab w:val="left" w:pos="0"/>
        </w:tabs>
        <w:spacing w:after="100" w:afterAutospacing="1"/>
        <w:ind w:left="0" w:firstLine="0"/>
        <w:rPr>
          <w:rFonts w:cs="Arial"/>
          <w:sz w:val="18"/>
          <w:szCs w:val="18"/>
        </w:rPr>
      </w:pPr>
      <w:r w:rsidRPr="00721A93">
        <w:rPr>
          <w:rFonts w:cs="Arial"/>
          <w:sz w:val="18"/>
          <w:szCs w:val="20"/>
        </w:rPr>
        <w:t>SEM/ED</w:t>
      </w:r>
      <w:r w:rsidR="00CF1E14" w:rsidRPr="00721A93">
        <w:rPr>
          <w:rFonts w:cs="Arial"/>
          <w:sz w:val="18"/>
          <w:szCs w:val="20"/>
        </w:rPr>
        <w:t>S</w:t>
      </w:r>
      <w:r w:rsidRPr="00721A93">
        <w:rPr>
          <w:rFonts w:cs="Arial"/>
          <w:sz w:val="18"/>
          <w:szCs w:val="20"/>
        </w:rPr>
        <w:t xml:space="preserve">: Scanning Electron Microscopy (SEM) coupled with Energy-Dispersive </w:t>
      </w:r>
      <w:r w:rsidR="002D0F5E" w:rsidRPr="00721A93">
        <w:rPr>
          <w:rFonts w:cs="Arial"/>
          <w:sz w:val="18"/>
          <w:szCs w:val="20"/>
        </w:rPr>
        <w:t>spectroscopy</w:t>
      </w:r>
      <w:r w:rsidRPr="00721A93">
        <w:rPr>
          <w:rFonts w:cs="Arial"/>
          <w:sz w:val="18"/>
          <w:szCs w:val="18"/>
        </w:rPr>
        <w:t xml:space="preserve"> (ED</w:t>
      </w:r>
      <w:r w:rsidR="009F22F2">
        <w:rPr>
          <w:rFonts w:cs="Arial"/>
          <w:sz w:val="18"/>
          <w:szCs w:val="18"/>
        </w:rPr>
        <w:t>S</w:t>
      </w:r>
      <w:r w:rsidRPr="00721A93">
        <w:rPr>
          <w:rFonts w:cs="Arial"/>
          <w:sz w:val="18"/>
          <w:szCs w:val="18"/>
        </w:rPr>
        <w:t>) was employed to examine the surface morphology and the elemental distribution (</w:t>
      </w:r>
      <w:r w:rsidR="003502D9">
        <w:rPr>
          <w:rFonts w:cs="Arial"/>
          <w:sz w:val="18"/>
          <w:szCs w:val="18"/>
        </w:rPr>
        <w:t xml:space="preserve">SEM </w:t>
      </w:r>
      <w:r w:rsidRPr="00721A93">
        <w:rPr>
          <w:rFonts w:cs="Arial"/>
          <w:sz w:val="18"/>
          <w:szCs w:val="18"/>
        </w:rPr>
        <w:t>mapping) across the catalyst surface</w:t>
      </w:r>
      <w:r w:rsidR="00A70C02" w:rsidRPr="00721A93">
        <w:rPr>
          <w:rFonts w:cs="Arial"/>
          <w:sz w:val="18"/>
          <w:szCs w:val="18"/>
        </w:rPr>
        <w:t xml:space="preserve"> (Phenom, ThermoFisher, USA)</w:t>
      </w:r>
      <w:r w:rsidRPr="00721A93">
        <w:rPr>
          <w:rFonts w:cs="Arial"/>
          <w:sz w:val="18"/>
          <w:szCs w:val="18"/>
        </w:rPr>
        <w:t>.</w:t>
      </w:r>
    </w:p>
    <w:p w14:paraId="34597432" w14:textId="699595DB" w:rsidR="00500695" w:rsidRPr="00721A93" w:rsidRDefault="0084712E" w:rsidP="007F6782">
      <w:pPr>
        <w:pStyle w:val="aff1"/>
        <w:numPr>
          <w:ilvl w:val="0"/>
          <w:numId w:val="24"/>
        </w:numPr>
        <w:tabs>
          <w:tab w:val="clear" w:pos="7100"/>
          <w:tab w:val="left" w:pos="0"/>
        </w:tabs>
        <w:ind w:left="0" w:firstLine="0"/>
        <w:rPr>
          <w:rFonts w:cs="Arial"/>
          <w:sz w:val="18"/>
          <w:szCs w:val="18"/>
        </w:rPr>
      </w:pPr>
      <w:r w:rsidRPr="00721A93">
        <w:rPr>
          <w:rFonts w:cs="Arial"/>
          <w:sz w:val="18"/>
          <w:szCs w:val="18"/>
        </w:rPr>
        <w:lastRenderedPageBreak/>
        <w:t>U</w:t>
      </w:r>
      <w:r w:rsidR="000414BA">
        <w:rPr>
          <w:rFonts w:cs="Arial"/>
          <w:sz w:val="18"/>
          <w:szCs w:val="18"/>
        </w:rPr>
        <w:t>V</w:t>
      </w:r>
      <w:r w:rsidRPr="00721A93">
        <w:rPr>
          <w:rFonts w:cs="Arial"/>
          <w:sz w:val="18"/>
          <w:szCs w:val="18"/>
        </w:rPr>
        <w:t>-vis</w:t>
      </w:r>
      <w:r w:rsidR="00500695" w:rsidRPr="00721A93">
        <w:rPr>
          <w:rFonts w:cs="Arial"/>
          <w:sz w:val="18"/>
          <w:szCs w:val="18"/>
        </w:rPr>
        <w:t xml:space="preserve"> </w:t>
      </w:r>
      <w:r w:rsidRPr="00721A93">
        <w:rPr>
          <w:rFonts w:cs="Arial"/>
          <w:sz w:val="18"/>
          <w:szCs w:val="18"/>
        </w:rPr>
        <w:t>Spectrophotometry</w:t>
      </w:r>
      <w:r w:rsidR="00500695" w:rsidRPr="00721A93">
        <w:rPr>
          <w:rFonts w:cs="Arial"/>
          <w:sz w:val="18"/>
          <w:szCs w:val="18"/>
        </w:rPr>
        <w:t>: This technique was utilized to monitor the photocatalytic kinetics during the degradation of organic compounds and dyes in wastewater, providing insights into the reaction rates and efficiency</w:t>
      </w:r>
      <w:r w:rsidR="00A70C02" w:rsidRPr="00721A93">
        <w:rPr>
          <w:rFonts w:cs="Arial"/>
          <w:sz w:val="18"/>
          <w:szCs w:val="18"/>
        </w:rPr>
        <w:t xml:space="preserve"> (Duetta, Horiba, Japan)</w:t>
      </w:r>
      <w:r w:rsidR="00500695" w:rsidRPr="00721A93">
        <w:rPr>
          <w:rFonts w:cs="Arial"/>
          <w:sz w:val="18"/>
          <w:szCs w:val="18"/>
        </w:rPr>
        <w:t>.</w:t>
      </w:r>
    </w:p>
    <w:p w14:paraId="4DDB9A12" w14:textId="0E582DCC" w:rsidR="002F47A2" w:rsidRPr="00721A93" w:rsidRDefault="00EB6924" w:rsidP="00680967">
      <w:pPr>
        <w:pStyle w:val="CETHeading1"/>
        <w:tabs>
          <w:tab w:val="left" w:pos="0"/>
          <w:tab w:val="right" w:pos="7100"/>
        </w:tabs>
        <w:jc w:val="both"/>
        <w:rPr>
          <w:rFonts w:cs="Arial"/>
          <w:lang w:val="en-GB"/>
        </w:rPr>
      </w:pPr>
      <w:r w:rsidRPr="00721A93">
        <w:rPr>
          <w:rFonts w:cs="Arial"/>
          <w:lang w:val="en-GB"/>
        </w:rPr>
        <w:t xml:space="preserve">3. </w:t>
      </w:r>
      <w:r w:rsidR="002F47A2" w:rsidRPr="005F5878">
        <w:t>Results</w:t>
      </w:r>
      <w:r w:rsidR="00FB0E63" w:rsidRPr="005F5878">
        <w:t xml:space="preserve"> and discussion</w:t>
      </w:r>
    </w:p>
    <w:p w14:paraId="02DCBC6F" w14:textId="50485E43" w:rsidR="00311455" w:rsidRPr="00A509E5" w:rsidRDefault="00046637" w:rsidP="00311455">
      <w:pPr>
        <w:tabs>
          <w:tab w:val="clear" w:pos="7100"/>
          <w:tab w:val="left" w:pos="0"/>
        </w:tabs>
        <w:rPr>
          <w:rFonts w:cs="Arial"/>
          <w:szCs w:val="18"/>
          <w:lang w:val="en-US" w:eastAsia="ru-RU"/>
        </w:rPr>
      </w:pPr>
      <w:r>
        <w:rPr>
          <w:rFonts w:cs="Arial"/>
          <w:szCs w:val="18"/>
          <w:lang w:val="en-US" w:eastAsia="ru-RU"/>
        </w:rPr>
        <w:t>T</w:t>
      </w:r>
      <w:r w:rsidR="002F47A2" w:rsidRPr="00721A93">
        <w:rPr>
          <w:rFonts w:cs="Arial"/>
          <w:szCs w:val="18"/>
          <w:lang w:val="en-US" w:eastAsia="ru-RU"/>
        </w:rPr>
        <w:t>he physicochemical properties and photocatalytic performance of the synthesized TiO</w:t>
      </w:r>
      <w:r w:rsidR="002F47A2" w:rsidRPr="00721A93">
        <w:rPr>
          <w:rFonts w:cs="Arial"/>
          <w:szCs w:val="18"/>
          <w:vertAlign w:val="subscript"/>
          <w:lang w:val="en-US" w:eastAsia="ru-RU"/>
        </w:rPr>
        <w:t>2</w:t>
      </w:r>
      <w:r w:rsidR="002F47A2" w:rsidRPr="00721A93">
        <w:rPr>
          <w:rFonts w:cs="Arial"/>
          <w:szCs w:val="18"/>
          <w:lang w:val="en-US" w:eastAsia="ru-RU"/>
        </w:rPr>
        <w:t>/Fe</w:t>
      </w:r>
      <w:r w:rsidR="002F47A2" w:rsidRPr="00721A93">
        <w:rPr>
          <w:rFonts w:cs="Arial"/>
          <w:szCs w:val="18"/>
          <w:vertAlign w:val="subscript"/>
          <w:lang w:val="en-US" w:eastAsia="ru-RU"/>
        </w:rPr>
        <w:t>2</w:t>
      </w:r>
      <w:r w:rsidR="002F47A2" w:rsidRPr="00721A93">
        <w:rPr>
          <w:rFonts w:cs="Arial"/>
          <w:szCs w:val="18"/>
          <w:lang w:val="en-US" w:eastAsia="ru-RU"/>
        </w:rPr>
        <w:t>(MoO</w:t>
      </w:r>
      <w:r w:rsidR="002F47A2" w:rsidRPr="00721A93">
        <w:rPr>
          <w:rFonts w:cs="Arial"/>
          <w:szCs w:val="18"/>
          <w:vertAlign w:val="subscript"/>
          <w:lang w:val="en-US" w:eastAsia="ru-RU"/>
        </w:rPr>
        <w:t>4</w:t>
      </w:r>
      <w:r w:rsidR="002F47A2" w:rsidRPr="00721A93">
        <w:rPr>
          <w:rFonts w:cs="Arial"/>
          <w:szCs w:val="18"/>
          <w:lang w:val="en-US" w:eastAsia="ru-RU"/>
        </w:rPr>
        <w:t>)</w:t>
      </w:r>
      <w:r w:rsidR="002F47A2" w:rsidRPr="00721A93">
        <w:rPr>
          <w:rFonts w:cs="Arial"/>
          <w:szCs w:val="18"/>
          <w:vertAlign w:val="subscript"/>
          <w:lang w:val="en-US" w:eastAsia="ru-RU"/>
        </w:rPr>
        <w:t>3</w:t>
      </w:r>
      <w:r w:rsidR="002F47A2" w:rsidRPr="00721A93">
        <w:rPr>
          <w:rFonts w:cs="Arial"/>
          <w:szCs w:val="18"/>
          <w:lang w:val="en-US" w:eastAsia="ru-RU"/>
        </w:rPr>
        <w:t xml:space="preserve"> composites are systematically evaluated.</w:t>
      </w:r>
      <w:r w:rsidR="003B4508" w:rsidRPr="003B4508">
        <w:rPr>
          <w:rFonts w:cs="Arial"/>
          <w:szCs w:val="18"/>
        </w:rPr>
        <w:t xml:space="preserve"> </w:t>
      </w:r>
      <w:r w:rsidR="00311455" w:rsidRPr="00A509E5">
        <w:rPr>
          <w:rFonts w:cs="Arial"/>
          <w:szCs w:val="18"/>
          <w:lang w:val="en-US" w:eastAsia="ru-RU"/>
        </w:rPr>
        <w:t xml:space="preserve">Table 1 data confirms that the weight percentages (wt. %) of Ti, Mo, and Fe align precisely with the experimental precursor ratios used during synthesis. Notably, in the optimized </w:t>
      </w:r>
      <w:r w:rsidR="00311455" w:rsidRPr="00A509E5">
        <w:rPr>
          <w:rFonts w:cs="Arial"/>
          <w:color w:val="000000" w:themeColor="text1"/>
          <w:kern w:val="24"/>
          <w:szCs w:val="18"/>
          <w:lang w:val="en-US"/>
        </w:rPr>
        <w:t>T1.9/FM0.1</w:t>
      </w:r>
      <w:r w:rsidR="00311455" w:rsidRPr="00A509E5">
        <w:rPr>
          <w:rFonts w:cs="Arial"/>
          <w:szCs w:val="18"/>
          <w:lang w:val="en-US" w:eastAsia="ru-RU"/>
        </w:rPr>
        <w:t xml:space="preserve"> sample, the Mo (3.8%) and Fe (0.7%) concentrations are at their minimum, supporting the formation of a highly dispersed active layer on the TiO</w:t>
      </w:r>
      <w:r w:rsidR="00311455" w:rsidRPr="00A509E5">
        <w:rPr>
          <w:rFonts w:cs="Arial"/>
          <w:szCs w:val="18"/>
          <w:vertAlign w:val="subscript"/>
          <w:lang w:val="en-US" w:eastAsia="ru-RU"/>
        </w:rPr>
        <w:t>2</w:t>
      </w:r>
      <w:r w:rsidR="00311455" w:rsidRPr="00A509E5">
        <w:rPr>
          <w:rFonts w:cs="Arial"/>
          <w:szCs w:val="18"/>
          <w:lang w:val="en-US" w:eastAsia="ru-RU"/>
        </w:rPr>
        <w:t xml:space="preserve"> support.</w:t>
      </w:r>
    </w:p>
    <w:p w14:paraId="693593B6" w14:textId="77777777" w:rsidR="00311455" w:rsidRPr="00721A93" w:rsidRDefault="00311455" w:rsidP="00311455">
      <w:pPr>
        <w:tabs>
          <w:tab w:val="clear" w:pos="7100"/>
          <w:tab w:val="left" w:pos="0"/>
        </w:tabs>
        <w:spacing w:before="240" w:after="80" w:line="240" w:lineRule="exact"/>
        <w:jc w:val="left"/>
        <w:rPr>
          <w:rFonts w:cs="Arial"/>
          <w:i/>
          <w:iCs/>
          <w:szCs w:val="18"/>
          <w:lang w:val="en-US" w:eastAsia="ru-RU"/>
        </w:rPr>
      </w:pPr>
      <w:bookmarkStart w:id="4" w:name="_Hlk226467729"/>
      <w:r w:rsidRPr="00721A93">
        <w:rPr>
          <w:rFonts w:cs="Arial"/>
          <w:i/>
          <w:iCs/>
          <w:szCs w:val="18"/>
          <w:lang w:val="en-US" w:eastAsia="ru-RU"/>
        </w:rPr>
        <w:t>Table 1: Elemental composition (wt.</w:t>
      </w:r>
      <w:r>
        <w:rPr>
          <w:rFonts w:cs="Arial"/>
          <w:i/>
          <w:iCs/>
          <w:szCs w:val="18"/>
          <w:lang w:val="en-US" w:eastAsia="ru-RU"/>
        </w:rPr>
        <w:t xml:space="preserve"> </w:t>
      </w:r>
      <w:r w:rsidRPr="00721A93">
        <w:rPr>
          <w:rFonts w:cs="Arial"/>
          <w:i/>
          <w:iCs/>
          <w:szCs w:val="18"/>
          <w:lang w:val="en-US" w:eastAsia="ru-RU"/>
        </w:rPr>
        <w:t>%) of TiO</w:t>
      </w:r>
      <w:r w:rsidRPr="00721A93">
        <w:rPr>
          <w:rFonts w:cs="Arial"/>
          <w:i/>
          <w:iCs/>
          <w:szCs w:val="18"/>
          <w:vertAlign w:val="subscript"/>
          <w:lang w:val="en-US" w:eastAsia="ru-RU"/>
        </w:rPr>
        <w:t>2</w:t>
      </w:r>
      <w:r w:rsidRPr="00721A93">
        <w:rPr>
          <w:rFonts w:cs="Arial"/>
          <w:i/>
          <w:iCs/>
          <w:szCs w:val="18"/>
          <w:lang w:val="en-US" w:eastAsia="ru-RU"/>
        </w:rPr>
        <w:t>/Fe</w:t>
      </w:r>
      <w:r w:rsidRPr="00721A93">
        <w:rPr>
          <w:rFonts w:cs="Arial"/>
          <w:i/>
          <w:iCs/>
          <w:szCs w:val="18"/>
          <w:vertAlign w:val="subscript"/>
          <w:lang w:val="en-US" w:eastAsia="ru-RU"/>
        </w:rPr>
        <w:t>2</w:t>
      </w:r>
      <w:r w:rsidRPr="00721A93">
        <w:rPr>
          <w:rFonts w:cs="Arial"/>
          <w:i/>
          <w:iCs/>
          <w:szCs w:val="18"/>
          <w:lang w:val="en-US" w:eastAsia="ru-RU"/>
        </w:rPr>
        <w:t>(MoO</w:t>
      </w:r>
      <w:r w:rsidRPr="00721A93">
        <w:rPr>
          <w:rFonts w:cs="Arial"/>
          <w:i/>
          <w:iCs/>
          <w:szCs w:val="18"/>
          <w:vertAlign w:val="subscript"/>
          <w:lang w:val="en-US" w:eastAsia="ru-RU"/>
        </w:rPr>
        <w:t>4</w:t>
      </w:r>
      <w:r w:rsidRPr="00721A93">
        <w:rPr>
          <w:rFonts w:cs="Arial"/>
          <w:i/>
          <w:iCs/>
          <w:szCs w:val="18"/>
          <w:lang w:val="en-US" w:eastAsia="ru-RU"/>
        </w:rPr>
        <w:t>)</w:t>
      </w:r>
      <w:r w:rsidRPr="00721A93">
        <w:rPr>
          <w:rFonts w:cs="Arial"/>
          <w:i/>
          <w:iCs/>
          <w:szCs w:val="18"/>
          <w:vertAlign w:val="subscript"/>
          <w:lang w:val="en-US" w:eastAsia="ru-RU"/>
        </w:rPr>
        <w:t>3</w:t>
      </w:r>
      <w:r w:rsidRPr="00721A93">
        <w:rPr>
          <w:rFonts w:cs="Arial"/>
          <w:i/>
          <w:iCs/>
          <w:szCs w:val="18"/>
          <w:lang w:val="en-US" w:eastAsia="ru-RU"/>
        </w:rPr>
        <w:t xml:space="preserve"> composites determined by EDS analysis.</w:t>
      </w:r>
    </w:p>
    <w:tbl>
      <w:tblPr>
        <w:tblW w:w="3711" w:type="pct"/>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2552"/>
        <w:gridCol w:w="963"/>
        <w:gridCol w:w="1021"/>
        <w:gridCol w:w="993"/>
        <w:gridCol w:w="993"/>
      </w:tblGrid>
      <w:tr w:rsidR="00311455" w:rsidRPr="00721A93" w14:paraId="00AC8E83" w14:textId="77777777" w:rsidTr="00F072E7">
        <w:tc>
          <w:tcPr>
            <w:tcW w:w="1957" w:type="pct"/>
            <w:tcBorders>
              <w:top w:val="single" w:sz="12" w:space="0" w:color="008000"/>
              <w:bottom w:val="single" w:sz="6" w:space="0" w:color="008000"/>
            </w:tcBorders>
            <w:shd w:val="clear" w:color="auto" w:fill="FFFFFF"/>
            <w:vAlign w:val="center"/>
          </w:tcPr>
          <w:p w14:paraId="47709F76" w14:textId="77777777" w:rsidR="00311455" w:rsidRPr="00721A93" w:rsidRDefault="00311455" w:rsidP="00F072E7">
            <w:pPr>
              <w:pStyle w:val="CETBodytext"/>
              <w:tabs>
                <w:tab w:val="left" w:pos="0"/>
              </w:tabs>
              <w:rPr>
                <w:rFonts w:cs="Arial"/>
                <w:szCs w:val="18"/>
                <w:lang w:val="en-GB"/>
              </w:rPr>
            </w:pPr>
            <w:r w:rsidRPr="00721A93">
              <w:rPr>
                <w:rFonts w:cs="Arial"/>
                <w:szCs w:val="18"/>
                <w:lang w:eastAsia="ru-RU"/>
              </w:rPr>
              <w:t>Samples</w:t>
            </w:r>
          </w:p>
        </w:tc>
        <w:tc>
          <w:tcPr>
            <w:tcW w:w="738" w:type="pct"/>
            <w:tcBorders>
              <w:top w:val="single" w:sz="12" w:space="0" w:color="008000"/>
              <w:bottom w:val="single" w:sz="6" w:space="0" w:color="008000"/>
            </w:tcBorders>
            <w:shd w:val="clear" w:color="auto" w:fill="FFFFFF"/>
            <w:vAlign w:val="center"/>
          </w:tcPr>
          <w:p w14:paraId="46A24364" w14:textId="77777777" w:rsidR="00311455" w:rsidRPr="00721A93" w:rsidRDefault="00311455" w:rsidP="00F072E7">
            <w:pPr>
              <w:pStyle w:val="CETBodytext"/>
              <w:tabs>
                <w:tab w:val="left" w:pos="0"/>
              </w:tabs>
              <w:rPr>
                <w:rFonts w:cs="Arial"/>
                <w:szCs w:val="18"/>
                <w:lang w:val="en-GB"/>
              </w:rPr>
            </w:pPr>
            <w:r w:rsidRPr="00721A93">
              <w:rPr>
                <w:rFonts w:cs="Arial"/>
                <w:szCs w:val="18"/>
                <w:lang w:eastAsia="ru-RU"/>
              </w:rPr>
              <w:t>Ti (wt.</w:t>
            </w:r>
            <w:r>
              <w:rPr>
                <w:rFonts w:cs="Arial"/>
                <w:szCs w:val="18"/>
                <w:lang w:eastAsia="ru-RU"/>
              </w:rPr>
              <w:t xml:space="preserve"> </w:t>
            </w:r>
            <w:r w:rsidRPr="00721A93">
              <w:rPr>
                <w:rFonts w:cs="Arial"/>
                <w:szCs w:val="18"/>
                <w:lang w:eastAsia="ru-RU"/>
              </w:rPr>
              <w:t>%)</w:t>
            </w:r>
          </w:p>
        </w:tc>
        <w:tc>
          <w:tcPr>
            <w:tcW w:w="783" w:type="pct"/>
            <w:tcBorders>
              <w:top w:val="single" w:sz="12" w:space="0" w:color="008000"/>
              <w:bottom w:val="single" w:sz="6" w:space="0" w:color="008000"/>
            </w:tcBorders>
            <w:shd w:val="clear" w:color="auto" w:fill="FFFFFF"/>
            <w:vAlign w:val="center"/>
          </w:tcPr>
          <w:p w14:paraId="5A001EC8" w14:textId="77777777" w:rsidR="00311455" w:rsidRPr="00721A93" w:rsidRDefault="00311455" w:rsidP="00F072E7">
            <w:pPr>
              <w:pStyle w:val="CETBodytext"/>
              <w:tabs>
                <w:tab w:val="left" w:pos="0"/>
              </w:tabs>
              <w:rPr>
                <w:rFonts w:cs="Arial"/>
                <w:szCs w:val="18"/>
                <w:lang w:val="en-GB"/>
              </w:rPr>
            </w:pPr>
            <w:r w:rsidRPr="00721A93">
              <w:rPr>
                <w:rFonts w:cs="Arial"/>
                <w:szCs w:val="18"/>
                <w:lang w:eastAsia="ru-RU"/>
              </w:rPr>
              <w:t>Mo (wt.</w:t>
            </w:r>
            <w:r>
              <w:rPr>
                <w:rFonts w:cs="Arial"/>
                <w:szCs w:val="18"/>
                <w:lang w:eastAsia="ru-RU"/>
              </w:rPr>
              <w:t xml:space="preserve"> </w:t>
            </w:r>
            <w:r w:rsidRPr="00721A93">
              <w:rPr>
                <w:rFonts w:cs="Arial"/>
                <w:szCs w:val="18"/>
                <w:lang w:eastAsia="ru-RU"/>
              </w:rPr>
              <w:t>%)</w:t>
            </w:r>
          </w:p>
        </w:tc>
        <w:tc>
          <w:tcPr>
            <w:tcW w:w="761" w:type="pct"/>
            <w:tcBorders>
              <w:top w:val="single" w:sz="12" w:space="0" w:color="008000"/>
              <w:bottom w:val="single" w:sz="6" w:space="0" w:color="008000"/>
            </w:tcBorders>
            <w:shd w:val="clear" w:color="auto" w:fill="FFFFFF"/>
            <w:vAlign w:val="center"/>
          </w:tcPr>
          <w:p w14:paraId="51A9B51F" w14:textId="77777777" w:rsidR="00311455" w:rsidRPr="00721A93" w:rsidRDefault="00311455" w:rsidP="00F072E7">
            <w:pPr>
              <w:pStyle w:val="CETBodytext"/>
              <w:tabs>
                <w:tab w:val="left" w:pos="0"/>
              </w:tabs>
              <w:ind w:right="-1"/>
              <w:rPr>
                <w:rFonts w:cs="Arial"/>
                <w:szCs w:val="18"/>
                <w:lang w:val="en-GB"/>
              </w:rPr>
            </w:pPr>
            <w:r w:rsidRPr="00721A93">
              <w:rPr>
                <w:rFonts w:cs="Arial"/>
                <w:szCs w:val="18"/>
                <w:lang w:eastAsia="ru-RU"/>
              </w:rPr>
              <w:t>Fe (wt.</w:t>
            </w:r>
            <w:r>
              <w:rPr>
                <w:rFonts w:cs="Arial"/>
                <w:szCs w:val="18"/>
                <w:lang w:eastAsia="ru-RU"/>
              </w:rPr>
              <w:t xml:space="preserve"> </w:t>
            </w:r>
            <w:r w:rsidRPr="00721A93">
              <w:rPr>
                <w:rFonts w:cs="Arial"/>
                <w:szCs w:val="18"/>
                <w:lang w:eastAsia="ru-RU"/>
              </w:rPr>
              <w:t>%)</w:t>
            </w:r>
          </w:p>
        </w:tc>
        <w:tc>
          <w:tcPr>
            <w:tcW w:w="761" w:type="pct"/>
            <w:tcBorders>
              <w:top w:val="single" w:sz="12" w:space="0" w:color="008000"/>
              <w:bottom w:val="single" w:sz="6" w:space="0" w:color="008000"/>
            </w:tcBorders>
            <w:shd w:val="clear" w:color="auto" w:fill="FFFFFF"/>
            <w:vAlign w:val="center"/>
          </w:tcPr>
          <w:p w14:paraId="769657A0" w14:textId="77777777" w:rsidR="00311455" w:rsidRPr="00721A93" w:rsidRDefault="00311455" w:rsidP="00F072E7">
            <w:pPr>
              <w:pStyle w:val="CETBodytext"/>
              <w:tabs>
                <w:tab w:val="left" w:pos="0"/>
              </w:tabs>
              <w:ind w:right="-1"/>
              <w:rPr>
                <w:rFonts w:cs="Arial"/>
                <w:szCs w:val="18"/>
                <w:lang w:val="en-GB"/>
              </w:rPr>
            </w:pPr>
            <w:r w:rsidRPr="00721A93">
              <w:rPr>
                <w:rFonts w:cs="Arial"/>
                <w:szCs w:val="18"/>
                <w:lang w:eastAsia="ru-RU"/>
              </w:rPr>
              <w:t>O (wt.</w:t>
            </w:r>
            <w:r>
              <w:rPr>
                <w:rFonts w:cs="Arial"/>
                <w:szCs w:val="18"/>
                <w:lang w:eastAsia="ru-RU"/>
              </w:rPr>
              <w:t xml:space="preserve"> </w:t>
            </w:r>
            <w:r w:rsidRPr="00721A93">
              <w:rPr>
                <w:rFonts w:cs="Arial"/>
                <w:szCs w:val="18"/>
                <w:lang w:eastAsia="ru-RU"/>
              </w:rPr>
              <w:t>%)</w:t>
            </w:r>
          </w:p>
        </w:tc>
      </w:tr>
      <w:tr w:rsidR="00311455" w:rsidRPr="00721A93" w14:paraId="362DCEB2" w14:textId="77777777" w:rsidTr="00F072E7">
        <w:tc>
          <w:tcPr>
            <w:tcW w:w="1957" w:type="pct"/>
            <w:shd w:val="clear" w:color="auto" w:fill="FFFFFF"/>
          </w:tcPr>
          <w:p w14:paraId="76E3F4F4" w14:textId="77777777" w:rsidR="00311455" w:rsidRPr="006D5D1B" w:rsidRDefault="00311455" w:rsidP="00F072E7">
            <w:pPr>
              <w:pStyle w:val="CETBodytext"/>
              <w:tabs>
                <w:tab w:val="left" w:pos="0"/>
              </w:tabs>
              <w:rPr>
                <w:rFonts w:cs="Arial"/>
                <w:szCs w:val="18"/>
                <w:lang w:val="en-GB"/>
              </w:rPr>
            </w:pPr>
            <w:r w:rsidRPr="006D5D1B">
              <w:rPr>
                <w:rFonts w:cs="Arial"/>
                <w:color w:val="000000" w:themeColor="text1"/>
                <w:kern w:val="24"/>
                <w:szCs w:val="18"/>
              </w:rPr>
              <w:t>T1/FM1 (Sample 2)</w:t>
            </w:r>
          </w:p>
        </w:tc>
        <w:tc>
          <w:tcPr>
            <w:tcW w:w="738" w:type="pct"/>
            <w:shd w:val="clear" w:color="auto" w:fill="FFFFFF"/>
            <w:vAlign w:val="center"/>
          </w:tcPr>
          <w:p w14:paraId="22392BC8" w14:textId="77777777" w:rsidR="00311455" w:rsidRPr="00721A93" w:rsidRDefault="00311455" w:rsidP="00F072E7">
            <w:pPr>
              <w:pStyle w:val="CETBodytext"/>
              <w:tabs>
                <w:tab w:val="left" w:pos="0"/>
              </w:tabs>
              <w:rPr>
                <w:rFonts w:cs="Arial"/>
                <w:szCs w:val="18"/>
                <w:lang w:val="en-GB"/>
              </w:rPr>
            </w:pPr>
            <w:r w:rsidRPr="00721A93">
              <w:rPr>
                <w:rFonts w:cs="Arial"/>
                <w:szCs w:val="18"/>
                <w:lang w:val="ru-RU" w:eastAsia="ru-RU"/>
              </w:rPr>
              <w:t>22.1</w:t>
            </w:r>
          </w:p>
        </w:tc>
        <w:tc>
          <w:tcPr>
            <w:tcW w:w="783" w:type="pct"/>
            <w:shd w:val="clear" w:color="auto" w:fill="FFFFFF"/>
            <w:vAlign w:val="center"/>
          </w:tcPr>
          <w:p w14:paraId="06514F55" w14:textId="77777777" w:rsidR="00311455" w:rsidRPr="00721A93" w:rsidRDefault="00311455" w:rsidP="00F072E7">
            <w:pPr>
              <w:pStyle w:val="CETBodytext"/>
              <w:tabs>
                <w:tab w:val="left" w:pos="0"/>
              </w:tabs>
              <w:rPr>
                <w:rFonts w:cs="Arial"/>
                <w:szCs w:val="18"/>
                <w:lang w:val="en-GB"/>
              </w:rPr>
            </w:pPr>
            <w:r w:rsidRPr="00721A93">
              <w:rPr>
                <w:rFonts w:cs="Arial"/>
                <w:szCs w:val="18"/>
                <w:lang w:val="ru-RU" w:eastAsia="ru-RU"/>
              </w:rPr>
              <w:t>19.6</w:t>
            </w:r>
          </w:p>
        </w:tc>
        <w:tc>
          <w:tcPr>
            <w:tcW w:w="761" w:type="pct"/>
            <w:shd w:val="clear" w:color="auto" w:fill="FFFFFF"/>
            <w:vAlign w:val="center"/>
          </w:tcPr>
          <w:p w14:paraId="785D21C7" w14:textId="77777777" w:rsidR="00311455" w:rsidRPr="00721A93" w:rsidRDefault="00311455" w:rsidP="00F072E7">
            <w:pPr>
              <w:pStyle w:val="CETBodytext"/>
              <w:tabs>
                <w:tab w:val="left" w:pos="0"/>
              </w:tabs>
              <w:ind w:right="-1"/>
              <w:rPr>
                <w:rFonts w:cs="Arial"/>
                <w:szCs w:val="18"/>
                <w:lang w:val="en-GB"/>
              </w:rPr>
            </w:pPr>
            <w:r w:rsidRPr="00721A93">
              <w:rPr>
                <w:rFonts w:cs="Arial"/>
                <w:szCs w:val="18"/>
                <w:lang w:val="ru-RU" w:eastAsia="ru-RU"/>
              </w:rPr>
              <w:t>5.5</w:t>
            </w:r>
          </w:p>
        </w:tc>
        <w:tc>
          <w:tcPr>
            <w:tcW w:w="761" w:type="pct"/>
            <w:shd w:val="clear" w:color="auto" w:fill="FFFFFF"/>
            <w:vAlign w:val="center"/>
          </w:tcPr>
          <w:p w14:paraId="27E5CE73" w14:textId="77777777" w:rsidR="00311455" w:rsidRPr="00721A93" w:rsidRDefault="00311455" w:rsidP="00F072E7">
            <w:pPr>
              <w:pStyle w:val="CETBodytext"/>
              <w:tabs>
                <w:tab w:val="left" w:pos="0"/>
              </w:tabs>
              <w:ind w:right="-1"/>
              <w:rPr>
                <w:rFonts w:cs="Arial"/>
                <w:szCs w:val="18"/>
                <w:lang w:val="en-GB"/>
              </w:rPr>
            </w:pPr>
            <w:r w:rsidRPr="00721A93">
              <w:rPr>
                <w:rFonts w:cs="Arial"/>
                <w:szCs w:val="18"/>
                <w:lang w:val="ru-RU" w:eastAsia="ru-RU"/>
              </w:rPr>
              <w:t>52.8</w:t>
            </w:r>
          </w:p>
        </w:tc>
      </w:tr>
      <w:tr w:rsidR="00311455" w:rsidRPr="00721A93" w14:paraId="018BAF0F" w14:textId="77777777" w:rsidTr="00F072E7">
        <w:tc>
          <w:tcPr>
            <w:tcW w:w="1957" w:type="pct"/>
            <w:shd w:val="clear" w:color="auto" w:fill="FFFFFF"/>
            <w:vAlign w:val="center"/>
          </w:tcPr>
          <w:p w14:paraId="165F4FFE" w14:textId="77777777" w:rsidR="00311455" w:rsidRPr="006D5D1B" w:rsidRDefault="00311455" w:rsidP="00F072E7">
            <w:pPr>
              <w:pStyle w:val="CETBodytext"/>
              <w:tabs>
                <w:tab w:val="left" w:pos="0"/>
              </w:tabs>
              <w:ind w:right="-1"/>
              <w:rPr>
                <w:rFonts w:cs="Arial"/>
                <w:szCs w:val="18"/>
                <w:lang w:val="en-GB"/>
              </w:rPr>
            </w:pPr>
            <w:r w:rsidRPr="006D5D1B">
              <w:rPr>
                <w:rFonts w:cs="Arial"/>
                <w:color w:val="000000" w:themeColor="text1"/>
                <w:kern w:val="24"/>
                <w:szCs w:val="18"/>
              </w:rPr>
              <w:t>T1.5/FM0.5 (Sample 3)</w:t>
            </w:r>
          </w:p>
        </w:tc>
        <w:tc>
          <w:tcPr>
            <w:tcW w:w="738" w:type="pct"/>
            <w:shd w:val="clear" w:color="auto" w:fill="FFFFFF"/>
            <w:vAlign w:val="center"/>
          </w:tcPr>
          <w:p w14:paraId="618C8821" w14:textId="77777777" w:rsidR="00311455" w:rsidRPr="00721A93" w:rsidRDefault="00311455" w:rsidP="00F072E7">
            <w:pPr>
              <w:pStyle w:val="CETBodytext"/>
              <w:tabs>
                <w:tab w:val="left" w:pos="0"/>
              </w:tabs>
              <w:ind w:right="-1"/>
              <w:rPr>
                <w:rFonts w:cs="Arial"/>
                <w:szCs w:val="18"/>
                <w:lang w:val="en-GB"/>
              </w:rPr>
            </w:pPr>
            <w:r w:rsidRPr="00721A93">
              <w:rPr>
                <w:rFonts w:cs="Arial"/>
                <w:szCs w:val="18"/>
                <w:lang w:val="ru-RU" w:eastAsia="ru-RU"/>
              </w:rPr>
              <w:t>40.5</w:t>
            </w:r>
          </w:p>
        </w:tc>
        <w:tc>
          <w:tcPr>
            <w:tcW w:w="783" w:type="pct"/>
            <w:shd w:val="clear" w:color="auto" w:fill="FFFFFF"/>
            <w:vAlign w:val="center"/>
          </w:tcPr>
          <w:p w14:paraId="674F576B" w14:textId="77777777" w:rsidR="00311455" w:rsidRPr="00721A93" w:rsidRDefault="00311455" w:rsidP="00F072E7">
            <w:pPr>
              <w:pStyle w:val="CETBodytext"/>
              <w:tabs>
                <w:tab w:val="left" w:pos="0"/>
              </w:tabs>
              <w:ind w:right="-1"/>
              <w:rPr>
                <w:rFonts w:cs="Arial"/>
                <w:szCs w:val="18"/>
                <w:lang w:val="en-GB"/>
              </w:rPr>
            </w:pPr>
            <w:r w:rsidRPr="00721A93">
              <w:rPr>
                <w:rFonts w:cs="Arial"/>
                <w:szCs w:val="18"/>
                <w:lang w:val="ru-RU" w:eastAsia="ru-RU"/>
              </w:rPr>
              <w:t>15.3</w:t>
            </w:r>
          </w:p>
        </w:tc>
        <w:tc>
          <w:tcPr>
            <w:tcW w:w="761" w:type="pct"/>
            <w:shd w:val="clear" w:color="auto" w:fill="FFFFFF"/>
            <w:vAlign w:val="center"/>
          </w:tcPr>
          <w:p w14:paraId="69D98041" w14:textId="77777777" w:rsidR="00311455" w:rsidRPr="00721A93" w:rsidRDefault="00311455" w:rsidP="00F072E7">
            <w:pPr>
              <w:pStyle w:val="CETBodytext"/>
              <w:tabs>
                <w:tab w:val="left" w:pos="0"/>
              </w:tabs>
              <w:ind w:right="-1"/>
              <w:rPr>
                <w:rFonts w:cs="Arial"/>
                <w:szCs w:val="18"/>
                <w:lang w:val="en-GB"/>
              </w:rPr>
            </w:pPr>
            <w:r w:rsidRPr="00721A93">
              <w:rPr>
                <w:rFonts w:cs="Arial"/>
                <w:szCs w:val="18"/>
                <w:lang w:val="ru-RU" w:eastAsia="ru-RU"/>
              </w:rPr>
              <w:t>5.5</w:t>
            </w:r>
          </w:p>
        </w:tc>
        <w:tc>
          <w:tcPr>
            <w:tcW w:w="761" w:type="pct"/>
            <w:shd w:val="clear" w:color="auto" w:fill="FFFFFF"/>
            <w:vAlign w:val="center"/>
          </w:tcPr>
          <w:p w14:paraId="581A3C64" w14:textId="77777777" w:rsidR="00311455" w:rsidRPr="00721A93" w:rsidRDefault="00311455" w:rsidP="00F072E7">
            <w:pPr>
              <w:pStyle w:val="CETBodytext"/>
              <w:tabs>
                <w:tab w:val="left" w:pos="0"/>
              </w:tabs>
              <w:ind w:right="-1"/>
              <w:rPr>
                <w:rFonts w:cs="Arial"/>
                <w:szCs w:val="18"/>
                <w:lang w:val="en-GB"/>
              </w:rPr>
            </w:pPr>
            <w:r w:rsidRPr="00721A93">
              <w:rPr>
                <w:rFonts w:cs="Arial"/>
                <w:szCs w:val="18"/>
                <w:lang w:val="ru-RU" w:eastAsia="ru-RU"/>
              </w:rPr>
              <w:t>38.7</w:t>
            </w:r>
          </w:p>
        </w:tc>
      </w:tr>
      <w:tr w:rsidR="00311455" w:rsidRPr="00721A93" w14:paraId="751CD808" w14:textId="77777777" w:rsidTr="00F072E7">
        <w:tc>
          <w:tcPr>
            <w:tcW w:w="1957" w:type="pct"/>
            <w:shd w:val="clear" w:color="auto" w:fill="FFFFFF"/>
            <w:vAlign w:val="center"/>
          </w:tcPr>
          <w:p w14:paraId="66C7870C" w14:textId="77777777" w:rsidR="00311455" w:rsidRPr="006D5D1B" w:rsidRDefault="00311455" w:rsidP="00F072E7">
            <w:pPr>
              <w:pStyle w:val="CETBodytext"/>
              <w:tabs>
                <w:tab w:val="left" w:pos="0"/>
              </w:tabs>
              <w:ind w:right="-1"/>
              <w:rPr>
                <w:rFonts w:cs="Arial"/>
                <w:szCs w:val="18"/>
                <w:lang w:val="en-GB"/>
              </w:rPr>
            </w:pPr>
            <w:r w:rsidRPr="006D5D1B">
              <w:rPr>
                <w:rFonts w:cs="Arial"/>
                <w:color w:val="000000" w:themeColor="text1"/>
                <w:kern w:val="24"/>
                <w:szCs w:val="18"/>
              </w:rPr>
              <w:t>T1.75/FM0.25 (Sample 4)</w:t>
            </w:r>
          </w:p>
        </w:tc>
        <w:tc>
          <w:tcPr>
            <w:tcW w:w="738" w:type="pct"/>
            <w:shd w:val="clear" w:color="auto" w:fill="FFFFFF"/>
            <w:vAlign w:val="center"/>
          </w:tcPr>
          <w:p w14:paraId="0F94C4D6" w14:textId="77777777" w:rsidR="00311455" w:rsidRPr="00721A93" w:rsidRDefault="00311455" w:rsidP="00F072E7">
            <w:pPr>
              <w:pStyle w:val="CETBodytext"/>
              <w:tabs>
                <w:tab w:val="left" w:pos="0"/>
              </w:tabs>
              <w:ind w:right="-1"/>
              <w:rPr>
                <w:rFonts w:cs="Arial"/>
                <w:szCs w:val="18"/>
                <w:lang w:val="en-GB"/>
              </w:rPr>
            </w:pPr>
            <w:r w:rsidRPr="00721A93">
              <w:rPr>
                <w:rFonts w:cs="Arial"/>
                <w:szCs w:val="18"/>
                <w:lang w:val="ru-RU" w:eastAsia="ru-RU"/>
              </w:rPr>
              <w:t>52.1</w:t>
            </w:r>
          </w:p>
        </w:tc>
        <w:tc>
          <w:tcPr>
            <w:tcW w:w="783" w:type="pct"/>
            <w:shd w:val="clear" w:color="auto" w:fill="FFFFFF"/>
            <w:vAlign w:val="center"/>
          </w:tcPr>
          <w:p w14:paraId="594FECC7" w14:textId="77777777" w:rsidR="00311455" w:rsidRPr="00721A93" w:rsidRDefault="00311455" w:rsidP="00F072E7">
            <w:pPr>
              <w:pStyle w:val="CETBodytext"/>
              <w:tabs>
                <w:tab w:val="left" w:pos="0"/>
              </w:tabs>
              <w:ind w:right="-1"/>
              <w:rPr>
                <w:rFonts w:cs="Arial"/>
                <w:szCs w:val="18"/>
                <w:lang w:val="en-GB"/>
              </w:rPr>
            </w:pPr>
            <w:r w:rsidRPr="00721A93">
              <w:rPr>
                <w:rFonts w:cs="Arial"/>
                <w:szCs w:val="18"/>
                <w:lang w:val="ru-RU" w:eastAsia="ru-RU"/>
              </w:rPr>
              <w:t>7.1</w:t>
            </w:r>
          </w:p>
        </w:tc>
        <w:tc>
          <w:tcPr>
            <w:tcW w:w="761" w:type="pct"/>
            <w:shd w:val="clear" w:color="auto" w:fill="FFFFFF"/>
            <w:vAlign w:val="center"/>
          </w:tcPr>
          <w:p w14:paraId="6A3B807B" w14:textId="77777777" w:rsidR="00311455" w:rsidRPr="00721A93" w:rsidRDefault="00311455" w:rsidP="00F072E7">
            <w:pPr>
              <w:pStyle w:val="CETBodytext"/>
              <w:tabs>
                <w:tab w:val="left" w:pos="0"/>
              </w:tabs>
              <w:ind w:right="-1"/>
              <w:rPr>
                <w:rFonts w:cs="Arial"/>
                <w:szCs w:val="18"/>
                <w:lang w:val="en-GB"/>
              </w:rPr>
            </w:pPr>
            <w:r w:rsidRPr="00721A93">
              <w:rPr>
                <w:rFonts w:cs="Arial"/>
                <w:szCs w:val="18"/>
                <w:lang w:val="ru-RU" w:eastAsia="ru-RU"/>
              </w:rPr>
              <w:t>1.6</w:t>
            </w:r>
          </w:p>
        </w:tc>
        <w:tc>
          <w:tcPr>
            <w:tcW w:w="761" w:type="pct"/>
            <w:shd w:val="clear" w:color="auto" w:fill="FFFFFF"/>
            <w:vAlign w:val="center"/>
          </w:tcPr>
          <w:p w14:paraId="07BCE7FF" w14:textId="77777777" w:rsidR="00311455" w:rsidRPr="00721A93" w:rsidRDefault="00311455" w:rsidP="00F072E7">
            <w:pPr>
              <w:pStyle w:val="CETBodytext"/>
              <w:tabs>
                <w:tab w:val="left" w:pos="0"/>
              </w:tabs>
              <w:ind w:right="-1"/>
              <w:rPr>
                <w:rFonts w:cs="Arial"/>
                <w:szCs w:val="18"/>
                <w:lang w:val="en-GB"/>
              </w:rPr>
            </w:pPr>
            <w:r w:rsidRPr="00721A93">
              <w:rPr>
                <w:rFonts w:cs="Arial"/>
                <w:szCs w:val="18"/>
                <w:lang w:val="ru-RU" w:eastAsia="ru-RU"/>
              </w:rPr>
              <w:t>39.2</w:t>
            </w:r>
          </w:p>
        </w:tc>
      </w:tr>
      <w:tr w:rsidR="00311455" w:rsidRPr="00721A93" w14:paraId="15393F91" w14:textId="77777777" w:rsidTr="00F072E7">
        <w:tc>
          <w:tcPr>
            <w:tcW w:w="1957" w:type="pct"/>
            <w:shd w:val="clear" w:color="auto" w:fill="FFFFFF"/>
            <w:vAlign w:val="center"/>
          </w:tcPr>
          <w:p w14:paraId="6E98A629" w14:textId="77777777" w:rsidR="00311455" w:rsidRPr="006D5D1B" w:rsidRDefault="00311455" w:rsidP="00F072E7">
            <w:pPr>
              <w:pStyle w:val="CETBodytext"/>
              <w:tabs>
                <w:tab w:val="left" w:pos="0"/>
              </w:tabs>
              <w:ind w:right="-1"/>
              <w:rPr>
                <w:rFonts w:cs="Arial"/>
                <w:szCs w:val="18"/>
                <w:lang w:val="en-GB"/>
              </w:rPr>
            </w:pPr>
            <w:r w:rsidRPr="006D5D1B">
              <w:rPr>
                <w:rFonts w:cs="Arial"/>
                <w:color w:val="000000" w:themeColor="text1"/>
                <w:kern w:val="24"/>
                <w:szCs w:val="18"/>
              </w:rPr>
              <w:t>T1.9/FM0.1 (Sample 5)</w:t>
            </w:r>
          </w:p>
        </w:tc>
        <w:tc>
          <w:tcPr>
            <w:tcW w:w="738" w:type="pct"/>
            <w:shd w:val="clear" w:color="auto" w:fill="FFFFFF"/>
            <w:vAlign w:val="center"/>
          </w:tcPr>
          <w:p w14:paraId="712B6B74" w14:textId="77777777" w:rsidR="00311455" w:rsidRPr="00721A93" w:rsidRDefault="00311455" w:rsidP="00F072E7">
            <w:pPr>
              <w:pStyle w:val="CETBodytext"/>
              <w:tabs>
                <w:tab w:val="left" w:pos="0"/>
              </w:tabs>
              <w:ind w:right="-1"/>
              <w:rPr>
                <w:rFonts w:cs="Arial"/>
                <w:szCs w:val="18"/>
                <w:lang w:val="en-GB"/>
              </w:rPr>
            </w:pPr>
            <w:r w:rsidRPr="00721A93">
              <w:rPr>
                <w:rFonts w:cs="Arial"/>
                <w:szCs w:val="18"/>
                <w:lang w:val="ru-RU" w:eastAsia="ru-RU"/>
              </w:rPr>
              <w:t>61.2</w:t>
            </w:r>
          </w:p>
        </w:tc>
        <w:tc>
          <w:tcPr>
            <w:tcW w:w="783" w:type="pct"/>
            <w:shd w:val="clear" w:color="auto" w:fill="FFFFFF"/>
            <w:vAlign w:val="center"/>
          </w:tcPr>
          <w:p w14:paraId="29C62506" w14:textId="77777777" w:rsidR="00311455" w:rsidRPr="00721A93" w:rsidRDefault="00311455" w:rsidP="00F072E7">
            <w:pPr>
              <w:pStyle w:val="CETBodytext"/>
              <w:tabs>
                <w:tab w:val="left" w:pos="0"/>
              </w:tabs>
              <w:ind w:right="-1"/>
              <w:rPr>
                <w:rFonts w:cs="Arial"/>
                <w:szCs w:val="18"/>
                <w:lang w:val="en-GB"/>
              </w:rPr>
            </w:pPr>
            <w:r w:rsidRPr="00721A93">
              <w:rPr>
                <w:rFonts w:cs="Arial"/>
                <w:szCs w:val="18"/>
                <w:lang w:val="ru-RU" w:eastAsia="ru-RU"/>
              </w:rPr>
              <w:t>3.8</w:t>
            </w:r>
          </w:p>
        </w:tc>
        <w:tc>
          <w:tcPr>
            <w:tcW w:w="761" w:type="pct"/>
            <w:shd w:val="clear" w:color="auto" w:fill="FFFFFF"/>
            <w:vAlign w:val="center"/>
          </w:tcPr>
          <w:p w14:paraId="31870F9A" w14:textId="77777777" w:rsidR="00311455" w:rsidRPr="00721A93" w:rsidRDefault="00311455" w:rsidP="00F072E7">
            <w:pPr>
              <w:pStyle w:val="CETBodytext"/>
              <w:tabs>
                <w:tab w:val="left" w:pos="0"/>
              </w:tabs>
              <w:ind w:right="-1"/>
              <w:rPr>
                <w:rFonts w:cs="Arial"/>
                <w:szCs w:val="18"/>
                <w:lang w:val="en-GB"/>
              </w:rPr>
            </w:pPr>
            <w:r w:rsidRPr="00721A93">
              <w:rPr>
                <w:rFonts w:cs="Arial"/>
                <w:szCs w:val="18"/>
                <w:lang w:val="ru-RU" w:eastAsia="ru-RU"/>
              </w:rPr>
              <w:t>0.7</w:t>
            </w:r>
          </w:p>
        </w:tc>
        <w:tc>
          <w:tcPr>
            <w:tcW w:w="761" w:type="pct"/>
            <w:shd w:val="clear" w:color="auto" w:fill="FFFFFF"/>
            <w:vAlign w:val="center"/>
          </w:tcPr>
          <w:p w14:paraId="256E582B" w14:textId="77777777" w:rsidR="00311455" w:rsidRPr="00721A93" w:rsidRDefault="00311455" w:rsidP="00F072E7">
            <w:pPr>
              <w:pStyle w:val="CETBodytext"/>
              <w:tabs>
                <w:tab w:val="left" w:pos="0"/>
              </w:tabs>
              <w:ind w:right="-1"/>
              <w:rPr>
                <w:rFonts w:cs="Arial"/>
                <w:szCs w:val="18"/>
                <w:lang w:val="en-GB"/>
              </w:rPr>
            </w:pPr>
            <w:r w:rsidRPr="00721A93">
              <w:rPr>
                <w:rFonts w:cs="Arial"/>
                <w:szCs w:val="18"/>
                <w:lang w:val="ru-RU" w:eastAsia="ru-RU"/>
              </w:rPr>
              <w:t>34.3</w:t>
            </w:r>
          </w:p>
        </w:tc>
      </w:tr>
      <w:bookmarkEnd w:id="4"/>
    </w:tbl>
    <w:p w14:paraId="22D6018C" w14:textId="77777777" w:rsidR="00311455" w:rsidRDefault="00311455" w:rsidP="003B4508">
      <w:pPr>
        <w:tabs>
          <w:tab w:val="clear" w:pos="7100"/>
          <w:tab w:val="left" w:pos="0"/>
        </w:tabs>
        <w:rPr>
          <w:rFonts w:cs="Arial"/>
          <w:szCs w:val="18"/>
        </w:rPr>
      </w:pPr>
    </w:p>
    <w:p w14:paraId="1471AEA1" w14:textId="126AC583" w:rsidR="003B4508" w:rsidRPr="00721A93" w:rsidRDefault="003B4508" w:rsidP="003B4508">
      <w:pPr>
        <w:tabs>
          <w:tab w:val="clear" w:pos="7100"/>
          <w:tab w:val="left" w:pos="0"/>
        </w:tabs>
        <w:rPr>
          <w:rFonts w:cs="Arial"/>
          <w:szCs w:val="18"/>
        </w:rPr>
      </w:pPr>
      <w:r w:rsidRPr="00721A93">
        <w:rPr>
          <w:rFonts w:cs="Arial"/>
          <w:szCs w:val="18"/>
        </w:rPr>
        <w:t xml:space="preserve">The surface morphology and textural properties of the synthesized </w:t>
      </w:r>
      <w:r w:rsidRPr="00721A93">
        <w:rPr>
          <w:rStyle w:val="math-inline"/>
          <w:rFonts w:cs="Arial"/>
          <w:szCs w:val="18"/>
        </w:rPr>
        <w:t>TiO</w:t>
      </w:r>
      <w:r w:rsidRPr="00721A93">
        <w:rPr>
          <w:rStyle w:val="math-inline"/>
          <w:rFonts w:cs="Arial"/>
          <w:szCs w:val="18"/>
          <w:vertAlign w:val="subscript"/>
        </w:rPr>
        <w:t>2</w:t>
      </w:r>
      <w:r w:rsidRPr="00721A93">
        <w:rPr>
          <w:rStyle w:val="math-inline"/>
          <w:rFonts w:cs="Arial"/>
          <w:szCs w:val="18"/>
        </w:rPr>
        <w:t>/Fe</w:t>
      </w:r>
      <w:r w:rsidRPr="00721A93">
        <w:rPr>
          <w:rStyle w:val="math-inline"/>
          <w:rFonts w:cs="Arial"/>
          <w:szCs w:val="18"/>
          <w:vertAlign w:val="subscript"/>
        </w:rPr>
        <w:t>2</w:t>
      </w:r>
      <w:r w:rsidRPr="00721A93">
        <w:rPr>
          <w:rStyle w:val="math-inline"/>
          <w:rFonts w:cs="Arial"/>
          <w:szCs w:val="18"/>
        </w:rPr>
        <w:t>(MoO</w:t>
      </w:r>
      <w:r w:rsidRPr="00721A93">
        <w:rPr>
          <w:rStyle w:val="math-inline"/>
          <w:rFonts w:cs="Arial"/>
          <w:szCs w:val="18"/>
          <w:vertAlign w:val="subscript"/>
        </w:rPr>
        <w:t>4</w:t>
      </w:r>
      <w:r w:rsidRPr="00721A93">
        <w:rPr>
          <w:rStyle w:val="math-inline"/>
          <w:rFonts w:cs="Arial"/>
          <w:szCs w:val="18"/>
        </w:rPr>
        <w:t>)</w:t>
      </w:r>
      <w:r w:rsidRPr="00721A93">
        <w:rPr>
          <w:rStyle w:val="math-inline"/>
          <w:rFonts w:cs="Arial"/>
          <w:szCs w:val="18"/>
          <w:vertAlign w:val="subscript"/>
        </w:rPr>
        <w:t>3</w:t>
      </w:r>
      <w:r w:rsidRPr="00721A93">
        <w:rPr>
          <w:rFonts w:cs="Arial"/>
          <w:szCs w:val="18"/>
        </w:rPr>
        <w:t xml:space="preserve"> heterostructured composites </w:t>
      </w:r>
      <w:r w:rsidR="00EC50C6">
        <w:rPr>
          <w:rFonts w:cs="Arial"/>
          <w:szCs w:val="18"/>
        </w:rPr>
        <w:t xml:space="preserve">are shown </w:t>
      </w:r>
      <w:r w:rsidR="00A509E5">
        <w:rPr>
          <w:rFonts w:cs="Arial"/>
          <w:szCs w:val="18"/>
        </w:rPr>
        <w:t>in</w:t>
      </w:r>
      <w:r w:rsidR="00EC50C6">
        <w:rPr>
          <w:rFonts w:cs="Arial"/>
          <w:szCs w:val="18"/>
        </w:rPr>
        <w:t xml:space="preserve"> </w:t>
      </w:r>
      <w:r>
        <w:rPr>
          <w:rFonts w:cs="Arial"/>
          <w:szCs w:val="18"/>
        </w:rPr>
        <w:t>Figures 1</w:t>
      </w:r>
      <w:r w:rsidRPr="00721A93">
        <w:rPr>
          <w:rFonts w:cs="Arial"/>
          <w:szCs w:val="18"/>
        </w:rPr>
        <w:t>. The micrographs reveal that the composites consist of irregularly shaped microparticles with varying degrees of agglomeration depending on the precursor ratios. For samples</w:t>
      </w:r>
      <w:r w:rsidR="007F2BF1">
        <w:rPr>
          <w:rFonts w:cs="Arial"/>
          <w:szCs w:val="18"/>
        </w:rPr>
        <w:t xml:space="preserve"> 2-3</w:t>
      </w:r>
      <w:r w:rsidRPr="00721A93">
        <w:rPr>
          <w:rFonts w:cs="Arial"/>
          <w:szCs w:val="18"/>
        </w:rPr>
        <w:t xml:space="preserve"> with a higher iron molybdate content, such as T1/FM1 and T1.5/FM0.5, significant particle clustering and large agglomerates are observed (Figure </w:t>
      </w:r>
      <w:r w:rsidR="00A509E5">
        <w:rPr>
          <w:rFonts w:cs="Arial"/>
          <w:szCs w:val="18"/>
        </w:rPr>
        <w:t>1a-c</w:t>
      </w:r>
      <w:r w:rsidRPr="00721A93">
        <w:rPr>
          <w:rFonts w:cs="Arial"/>
          <w:szCs w:val="18"/>
        </w:rPr>
        <w:t xml:space="preserve">). Such dense morphologies typically reduce the effective specific surface area and may </w:t>
      </w:r>
      <w:r w:rsidR="00A07754">
        <w:rPr>
          <w:rFonts w:cs="Arial"/>
          <w:szCs w:val="18"/>
        </w:rPr>
        <w:t xml:space="preserve">decrease the number of active photocatalytic sites, </w:t>
      </w:r>
      <w:r w:rsidR="00BC4BBA">
        <w:rPr>
          <w:rFonts w:cs="Arial"/>
          <w:szCs w:val="18"/>
          <w:lang w:val="uz-Latn-UZ"/>
        </w:rPr>
        <w:t>consequently</w:t>
      </w:r>
      <w:r w:rsidR="00A07754">
        <w:rPr>
          <w:rFonts w:cs="Arial"/>
          <w:szCs w:val="18"/>
        </w:rPr>
        <w:t xml:space="preserve"> limiting </w:t>
      </w:r>
      <w:r w:rsidRPr="00721A93">
        <w:rPr>
          <w:rFonts w:cs="Arial"/>
          <w:szCs w:val="18"/>
        </w:rPr>
        <w:t>overall efficiency.</w:t>
      </w:r>
      <w:r>
        <w:rPr>
          <w:rFonts w:cs="Arial"/>
          <w:szCs w:val="18"/>
        </w:rPr>
        <w:t xml:space="preserve"> </w:t>
      </w:r>
      <w:r w:rsidRPr="00721A93">
        <w:rPr>
          <w:rFonts w:cs="Arial"/>
          <w:szCs w:val="18"/>
        </w:rPr>
        <w:t xml:space="preserve">In contrast, reducing the </w:t>
      </w:r>
      <w:r w:rsidRPr="00721A93">
        <w:rPr>
          <w:rStyle w:val="math-inline"/>
          <w:rFonts w:cs="Arial"/>
          <w:szCs w:val="18"/>
        </w:rPr>
        <w:t>Fe</w:t>
      </w:r>
      <w:r w:rsidRPr="00721A93">
        <w:rPr>
          <w:rStyle w:val="math-inline"/>
          <w:rFonts w:cs="Arial"/>
          <w:szCs w:val="18"/>
          <w:vertAlign w:val="subscript"/>
        </w:rPr>
        <w:t>2</w:t>
      </w:r>
      <w:r w:rsidRPr="00721A93">
        <w:rPr>
          <w:rStyle w:val="math-inline"/>
          <w:rFonts w:cs="Arial"/>
          <w:szCs w:val="18"/>
        </w:rPr>
        <w:t>(MoO</w:t>
      </w:r>
      <w:r w:rsidRPr="00721A93">
        <w:rPr>
          <w:rStyle w:val="math-inline"/>
          <w:rFonts w:cs="Arial"/>
          <w:szCs w:val="18"/>
          <w:vertAlign w:val="subscript"/>
        </w:rPr>
        <w:t>4</w:t>
      </w:r>
      <w:r w:rsidRPr="00721A93">
        <w:rPr>
          <w:rStyle w:val="math-inline"/>
          <w:rFonts w:cs="Arial"/>
          <w:szCs w:val="18"/>
        </w:rPr>
        <w:t>)</w:t>
      </w:r>
      <w:r w:rsidRPr="00721A93">
        <w:rPr>
          <w:rStyle w:val="math-inline"/>
          <w:rFonts w:cs="Arial"/>
          <w:szCs w:val="18"/>
          <w:vertAlign w:val="subscript"/>
        </w:rPr>
        <w:t>3</w:t>
      </w:r>
      <w:r w:rsidRPr="00721A93">
        <w:rPr>
          <w:rFonts w:cs="Arial"/>
          <w:szCs w:val="18"/>
        </w:rPr>
        <w:t xml:space="preserve"> fraction to a </w:t>
      </w:r>
      <w:r w:rsidR="00A07754">
        <w:rPr>
          <w:rFonts w:cs="Arial"/>
          <w:szCs w:val="18"/>
        </w:rPr>
        <w:t>ratio of 0.1</w:t>
      </w:r>
      <w:r w:rsidRPr="00721A93">
        <w:rPr>
          <w:rFonts w:cs="Arial"/>
          <w:szCs w:val="18"/>
        </w:rPr>
        <w:t xml:space="preserve"> (T1.9/FM0.1) leads to transformation in the surface architecture</w:t>
      </w:r>
      <w:r w:rsidR="007F2BF1">
        <w:rPr>
          <w:rFonts w:cs="Arial"/>
          <w:szCs w:val="18"/>
        </w:rPr>
        <w:t xml:space="preserve"> (Sample 5)</w:t>
      </w:r>
      <w:r w:rsidRPr="00721A93">
        <w:rPr>
          <w:rFonts w:cs="Arial"/>
          <w:szCs w:val="18"/>
        </w:rPr>
        <w:t xml:space="preserve">. As shown in the high-magnification micrograph (Figure 1d, 3100x), the particles exhibit a highly dispersed state, </w:t>
      </w:r>
      <w:r w:rsidR="00EC1FD5">
        <w:rPr>
          <w:rFonts w:cs="Arial"/>
          <w:szCs w:val="18"/>
        </w:rPr>
        <w:t>uniformly distributed throughout</w:t>
      </w:r>
      <w:r w:rsidRPr="00721A93">
        <w:rPr>
          <w:rFonts w:cs="Arial"/>
          <w:szCs w:val="18"/>
        </w:rPr>
        <w:t xml:space="preserve"> the </w:t>
      </w:r>
      <w:r w:rsidRPr="00721A93">
        <w:rPr>
          <w:rStyle w:val="math-inline"/>
          <w:rFonts w:cs="Arial"/>
          <w:szCs w:val="18"/>
        </w:rPr>
        <w:t>TiO</w:t>
      </w:r>
      <w:r w:rsidRPr="00721A93">
        <w:rPr>
          <w:rStyle w:val="math-inline"/>
          <w:rFonts w:cs="Arial"/>
          <w:szCs w:val="18"/>
          <w:vertAlign w:val="subscript"/>
        </w:rPr>
        <w:t xml:space="preserve">2 </w:t>
      </w:r>
      <w:r w:rsidRPr="00721A93">
        <w:rPr>
          <w:rFonts w:cs="Arial"/>
          <w:szCs w:val="18"/>
        </w:rPr>
        <w:t xml:space="preserve">matrix. This fine morphology enhances porosity and increases the number of available active sites, which is crucial for the effective adsorption of organic pollutants like </w:t>
      </w:r>
      <w:r w:rsidR="00BE1578">
        <w:rPr>
          <w:rFonts w:cs="Arial"/>
          <w:szCs w:val="18"/>
        </w:rPr>
        <w:t>n</w:t>
      </w:r>
      <w:r w:rsidRPr="00721A93">
        <w:rPr>
          <w:rFonts w:cs="Arial"/>
          <w:szCs w:val="18"/>
        </w:rPr>
        <w:t>itrofurazone.</w:t>
      </w:r>
    </w:p>
    <w:p w14:paraId="486CE529" w14:textId="1FC296FA" w:rsidR="0033518C" w:rsidRPr="00721A93" w:rsidRDefault="00CA2503" w:rsidP="00EE243C">
      <w:pPr>
        <w:pStyle w:val="aff1"/>
        <w:tabs>
          <w:tab w:val="clear" w:pos="7100"/>
          <w:tab w:val="left" w:pos="0"/>
        </w:tabs>
        <w:spacing w:before="240" w:after="240"/>
        <w:rPr>
          <w:rFonts w:cs="Arial"/>
          <w:sz w:val="18"/>
          <w:szCs w:val="18"/>
          <w:lang w:val="en-US"/>
        </w:rPr>
      </w:pPr>
      <w:r>
        <w:rPr>
          <w:rFonts w:cs="Arial"/>
          <w:noProof/>
          <w:sz w:val="18"/>
          <w:szCs w:val="18"/>
          <w:lang w:val="en-US"/>
        </w:rPr>
        <w:drawing>
          <wp:inline distT="0" distB="0" distL="0" distR="0" wp14:anchorId="3F512267" wp14:editId="182D6661">
            <wp:extent cx="4687146" cy="2809240"/>
            <wp:effectExtent l="0" t="0" r="0" b="0"/>
            <wp:docPr id="97127279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45260" cy="2844070"/>
                    </a:xfrm>
                    <a:prstGeom prst="rect">
                      <a:avLst/>
                    </a:prstGeom>
                    <a:noFill/>
                  </pic:spPr>
                </pic:pic>
              </a:graphicData>
            </a:graphic>
          </wp:inline>
        </w:drawing>
      </w:r>
    </w:p>
    <w:p w14:paraId="1701033C" w14:textId="1785E543" w:rsidR="007D5505" w:rsidRPr="00721A93" w:rsidRDefault="009B2CB0" w:rsidP="002551AF">
      <w:pPr>
        <w:pStyle w:val="CETCaption"/>
        <w:tabs>
          <w:tab w:val="left" w:pos="0"/>
        </w:tabs>
        <w:jc w:val="left"/>
        <w:rPr>
          <w:rStyle w:val="CETCaptionCarattere"/>
          <w:rFonts w:cs="Arial"/>
          <w:i/>
          <w:iCs/>
        </w:rPr>
      </w:pPr>
      <w:r w:rsidRPr="00721A93">
        <w:rPr>
          <w:rStyle w:val="CETCaptionCarattere"/>
          <w:rFonts w:cs="Arial"/>
          <w:i/>
          <w:iCs/>
        </w:rPr>
        <w:t xml:space="preserve">Figure </w:t>
      </w:r>
      <w:r w:rsidR="00AF2887" w:rsidRPr="00721A93">
        <w:rPr>
          <w:rStyle w:val="CETCaptionCarattere"/>
          <w:rFonts w:cs="Arial"/>
          <w:i/>
          <w:iCs/>
        </w:rPr>
        <w:t>1</w:t>
      </w:r>
      <w:r w:rsidR="00802038" w:rsidRPr="00721A93">
        <w:rPr>
          <w:rStyle w:val="CETCaptionCarattere"/>
          <w:rFonts w:cs="Arial"/>
          <w:i/>
          <w:iCs/>
        </w:rPr>
        <w:t>:</w:t>
      </w:r>
      <w:r w:rsidRPr="00721A93">
        <w:rPr>
          <w:rStyle w:val="CETCaptionCarattere"/>
          <w:rFonts w:cs="Arial"/>
          <w:i/>
          <w:iCs/>
        </w:rPr>
        <w:t xml:space="preserve"> SEM micrographs and corresponding EDS elemental mapping of synthesized TiO</w:t>
      </w:r>
      <w:r w:rsidRPr="00721A93">
        <w:rPr>
          <w:rStyle w:val="CETCaptionCarattere"/>
          <w:rFonts w:cs="Arial"/>
          <w:i/>
          <w:iCs/>
          <w:vertAlign w:val="subscript"/>
        </w:rPr>
        <w:t>2</w:t>
      </w:r>
      <w:r w:rsidRPr="00721A93">
        <w:rPr>
          <w:rStyle w:val="CETCaptionCarattere"/>
          <w:rFonts w:cs="Arial"/>
          <w:i/>
          <w:iCs/>
        </w:rPr>
        <w:t>/Fe</w:t>
      </w:r>
      <w:r w:rsidRPr="00721A93">
        <w:rPr>
          <w:rStyle w:val="CETCaptionCarattere"/>
          <w:rFonts w:cs="Arial"/>
          <w:i/>
          <w:iCs/>
          <w:vertAlign w:val="subscript"/>
        </w:rPr>
        <w:t>2</w:t>
      </w:r>
      <w:r w:rsidRPr="00721A93">
        <w:rPr>
          <w:rStyle w:val="CETCaptionCarattere"/>
          <w:rFonts w:cs="Arial"/>
          <w:i/>
          <w:iCs/>
        </w:rPr>
        <w:t>(MoO</w:t>
      </w:r>
      <w:r w:rsidRPr="00721A93">
        <w:rPr>
          <w:rStyle w:val="CETCaptionCarattere"/>
          <w:rFonts w:cs="Arial"/>
          <w:i/>
          <w:iCs/>
          <w:vertAlign w:val="subscript"/>
        </w:rPr>
        <w:t>4</w:t>
      </w:r>
      <w:r w:rsidRPr="00721A93">
        <w:rPr>
          <w:rStyle w:val="CETCaptionCarattere"/>
          <w:rFonts w:cs="Arial"/>
          <w:i/>
          <w:iCs/>
        </w:rPr>
        <w:t>)</w:t>
      </w:r>
      <w:r w:rsidRPr="00721A93">
        <w:rPr>
          <w:rStyle w:val="CETCaptionCarattere"/>
          <w:rFonts w:cs="Arial"/>
          <w:i/>
          <w:iCs/>
          <w:vertAlign w:val="subscript"/>
        </w:rPr>
        <w:t>3</w:t>
      </w:r>
      <w:r w:rsidRPr="00721A93">
        <w:rPr>
          <w:rStyle w:val="CETCaptionCarattere"/>
          <w:rFonts w:cs="Arial"/>
          <w:i/>
          <w:iCs/>
        </w:rPr>
        <w:t xml:space="preserve"> heterostructured composites: (a) T1/FM1, (b) T1.5/FM0.5, (c) T1.75/FM0.25, and (d) T1.9/FM0.1.</w:t>
      </w:r>
    </w:p>
    <w:p w14:paraId="5ACCA846" w14:textId="7F5FCCD6" w:rsidR="00F305E2" w:rsidRDefault="00035D24" w:rsidP="00F305E2">
      <w:pPr>
        <w:pStyle w:val="aff1"/>
        <w:tabs>
          <w:tab w:val="left" w:pos="0"/>
        </w:tabs>
        <w:rPr>
          <w:rFonts w:cs="Arial"/>
          <w:sz w:val="18"/>
          <w:szCs w:val="18"/>
        </w:rPr>
      </w:pPr>
      <w:r>
        <w:rPr>
          <w:rFonts w:cs="Arial"/>
          <w:sz w:val="18"/>
          <w:szCs w:val="18"/>
          <w:lang w:val="en-US" w:eastAsia="ru-RU"/>
        </w:rPr>
        <w:t>Figures 2a-d confirm that the composites consist predominantly of titanium dioxide (TiO</w:t>
      </w:r>
      <w:r w:rsidRPr="00035D24">
        <w:rPr>
          <w:rFonts w:cs="Arial"/>
          <w:sz w:val="18"/>
          <w:szCs w:val="18"/>
          <w:vertAlign w:val="subscript"/>
          <w:lang w:val="en-US" w:eastAsia="ru-RU"/>
        </w:rPr>
        <w:t>2</w:t>
      </w:r>
      <w:r>
        <w:rPr>
          <w:rFonts w:cs="Arial"/>
          <w:sz w:val="18"/>
          <w:szCs w:val="18"/>
          <w:lang w:val="en-US" w:eastAsia="ru-RU"/>
        </w:rPr>
        <w:t>) and iron molybdate (Fe</w:t>
      </w:r>
      <w:r w:rsidRPr="00035D24">
        <w:rPr>
          <w:rFonts w:cs="Arial"/>
          <w:sz w:val="18"/>
          <w:szCs w:val="18"/>
          <w:vertAlign w:val="subscript"/>
          <w:lang w:val="en-US" w:eastAsia="ru-RU"/>
        </w:rPr>
        <w:t>2</w:t>
      </w:r>
      <w:r>
        <w:rPr>
          <w:rFonts w:cs="Arial"/>
          <w:sz w:val="18"/>
          <w:szCs w:val="18"/>
          <w:lang w:val="en-US" w:eastAsia="ru-RU"/>
        </w:rPr>
        <w:t>(MoO</w:t>
      </w:r>
      <w:r w:rsidRPr="00035D24">
        <w:rPr>
          <w:rFonts w:cs="Arial"/>
          <w:sz w:val="18"/>
          <w:szCs w:val="18"/>
          <w:vertAlign w:val="subscript"/>
          <w:lang w:val="en-US" w:eastAsia="ru-RU"/>
        </w:rPr>
        <w:t>4</w:t>
      </w:r>
      <w:r>
        <w:rPr>
          <w:rFonts w:cs="Arial"/>
          <w:sz w:val="18"/>
          <w:szCs w:val="18"/>
          <w:lang w:val="en-US" w:eastAsia="ru-RU"/>
        </w:rPr>
        <w:t>)</w:t>
      </w:r>
      <w:r w:rsidRPr="00035D24">
        <w:rPr>
          <w:rFonts w:cs="Arial"/>
          <w:sz w:val="18"/>
          <w:szCs w:val="18"/>
          <w:vertAlign w:val="subscript"/>
          <w:lang w:val="en-US" w:eastAsia="ru-RU"/>
        </w:rPr>
        <w:t>3</w:t>
      </w:r>
      <w:r>
        <w:rPr>
          <w:rFonts w:cs="Arial"/>
          <w:sz w:val="18"/>
          <w:szCs w:val="18"/>
          <w:lang w:val="en-US" w:eastAsia="ru-RU"/>
        </w:rPr>
        <w:t xml:space="preserve">) phases. The relative peak intensities vary with the Ti/Mo ratio; for Sample 5 (T1.9/FM0.1) (Figure 2d), the Ti peak is at its maximum, while the Fe and Mo peaks are minimal. The color-coded maps show a highly </w:t>
      </w:r>
      <w:r>
        <w:rPr>
          <w:rFonts w:cs="Arial"/>
          <w:sz w:val="18"/>
          <w:szCs w:val="18"/>
          <w:lang w:val="en-US" w:eastAsia="ru-RU"/>
        </w:rPr>
        <w:lastRenderedPageBreak/>
        <w:t>homogeneous distribution of titanium (Ti), iron (Fe), and molybdenum (Mo). The overlap among these elements indicates that the Fe</w:t>
      </w:r>
      <w:r w:rsidRPr="00B24F7A">
        <w:rPr>
          <w:rFonts w:cs="Arial"/>
          <w:sz w:val="18"/>
          <w:szCs w:val="18"/>
          <w:vertAlign w:val="subscript"/>
          <w:lang w:val="en-US" w:eastAsia="ru-RU"/>
        </w:rPr>
        <w:t>2</w:t>
      </w:r>
      <w:r>
        <w:rPr>
          <w:rFonts w:cs="Arial"/>
          <w:sz w:val="18"/>
          <w:szCs w:val="18"/>
          <w:lang w:val="en-US" w:eastAsia="ru-RU"/>
        </w:rPr>
        <w:t>(MoO</w:t>
      </w:r>
      <w:r w:rsidRPr="00B24F7A">
        <w:rPr>
          <w:rFonts w:cs="Arial"/>
          <w:sz w:val="18"/>
          <w:szCs w:val="18"/>
          <w:vertAlign w:val="subscript"/>
          <w:lang w:val="en-US" w:eastAsia="ru-RU"/>
        </w:rPr>
        <w:t>4</w:t>
      </w:r>
      <w:r>
        <w:rPr>
          <w:rFonts w:cs="Arial"/>
          <w:sz w:val="18"/>
          <w:szCs w:val="18"/>
          <w:lang w:val="en-US" w:eastAsia="ru-RU"/>
        </w:rPr>
        <w:t>)</w:t>
      </w:r>
      <w:r w:rsidRPr="00B24F7A">
        <w:rPr>
          <w:rFonts w:cs="Arial"/>
          <w:sz w:val="18"/>
          <w:szCs w:val="18"/>
          <w:vertAlign w:val="subscript"/>
          <w:lang w:val="en-US" w:eastAsia="ru-RU"/>
        </w:rPr>
        <w:t>3</w:t>
      </w:r>
      <w:r>
        <w:rPr>
          <w:rFonts w:cs="Arial"/>
          <w:sz w:val="18"/>
          <w:szCs w:val="18"/>
          <w:lang w:val="en-US" w:eastAsia="ru-RU"/>
        </w:rPr>
        <w:t xml:space="preserve"> phase is not mechanically mixed but has formed a heterojunction interface with the TiO</w:t>
      </w:r>
      <w:r w:rsidRPr="00B24F7A">
        <w:rPr>
          <w:rFonts w:cs="Arial"/>
          <w:sz w:val="18"/>
          <w:szCs w:val="18"/>
          <w:vertAlign w:val="subscript"/>
          <w:lang w:val="en-US" w:eastAsia="ru-RU"/>
        </w:rPr>
        <w:t>2</w:t>
      </w:r>
      <w:r>
        <w:rPr>
          <w:rFonts w:cs="Arial"/>
          <w:sz w:val="18"/>
          <w:szCs w:val="18"/>
          <w:lang w:val="en-US" w:eastAsia="ru-RU"/>
        </w:rPr>
        <w:t xml:space="preserve"> support. The contact between the two semiconductors facilitates a synergistic effect, promoting the separation of photogenerated electron-hole pairs and suppressing their recombination. The superior morphological features of the T1.9/FM0.1 sample directly correlate with the maximum apparent rate constant (kapp) observed in the photocatalytic degradation tests (Figure 4).</w:t>
      </w:r>
    </w:p>
    <w:p w14:paraId="49932CC4" w14:textId="77777777" w:rsidR="00F305E2" w:rsidRPr="00721A93" w:rsidRDefault="00F305E2" w:rsidP="00F305E2">
      <w:pPr>
        <w:tabs>
          <w:tab w:val="clear" w:pos="7100"/>
          <w:tab w:val="left" w:pos="0"/>
        </w:tabs>
        <w:spacing w:before="240" w:after="240"/>
        <w:rPr>
          <w:rFonts w:cs="Arial"/>
          <w:szCs w:val="18"/>
          <w:lang w:val="en-US" w:eastAsia="ru-RU"/>
        </w:rPr>
      </w:pPr>
      <w:r w:rsidRPr="00EE243C">
        <w:rPr>
          <w:noProof/>
        </w:rPr>
        <w:drawing>
          <wp:inline distT="0" distB="0" distL="0" distR="0" wp14:anchorId="7C102DBF" wp14:editId="53C4B4DC">
            <wp:extent cx="5430875" cy="2558143"/>
            <wp:effectExtent l="0" t="0" r="0" b="0"/>
            <wp:docPr id="6372724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67223" cy="2575264"/>
                    </a:xfrm>
                    <a:prstGeom prst="rect">
                      <a:avLst/>
                    </a:prstGeom>
                    <a:noFill/>
                    <a:ln>
                      <a:noFill/>
                    </a:ln>
                  </pic:spPr>
                </pic:pic>
              </a:graphicData>
            </a:graphic>
          </wp:inline>
        </w:drawing>
      </w:r>
    </w:p>
    <w:p w14:paraId="2E2928D5" w14:textId="101AE8B0" w:rsidR="00F305E2" w:rsidRPr="00721A93" w:rsidRDefault="00F305E2" w:rsidP="00F305E2">
      <w:pPr>
        <w:tabs>
          <w:tab w:val="clear" w:pos="7100"/>
          <w:tab w:val="left" w:pos="0"/>
        </w:tabs>
        <w:spacing w:before="240" w:after="240"/>
        <w:rPr>
          <w:rFonts w:cs="Arial"/>
          <w:i/>
          <w:iCs/>
          <w:szCs w:val="18"/>
          <w:lang w:val="en-US" w:eastAsia="ru-RU"/>
        </w:rPr>
      </w:pPr>
      <w:r w:rsidRPr="00721A93">
        <w:rPr>
          <w:rFonts w:cs="Arial"/>
          <w:i/>
          <w:iCs/>
          <w:szCs w:val="18"/>
          <w:lang w:val="en-US" w:eastAsia="ru-RU"/>
        </w:rPr>
        <w:t xml:space="preserve">Figure </w:t>
      </w:r>
      <w:r>
        <w:rPr>
          <w:rFonts w:eastAsia="MS Mincho" w:cs="Arial" w:hint="eastAsia"/>
          <w:i/>
          <w:iCs/>
          <w:szCs w:val="18"/>
          <w:lang w:val="en-US" w:eastAsia="ja-JP"/>
        </w:rPr>
        <w:t>2</w:t>
      </w:r>
      <w:r w:rsidRPr="00721A93">
        <w:rPr>
          <w:rFonts w:cs="Arial"/>
          <w:i/>
          <w:iCs/>
          <w:szCs w:val="18"/>
          <w:lang w:val="en-US" w:eastAsia="ru-RU"/>
        </w:rPr>
        <w:t>: EDS spectra of synthesized TiO</w:t>
      </w:r>
      <w:r w:rsidRPr="00721A93">
        <w:rPr>
          <w:rFonts w:cs="Arial"/>
          <w:i/>
          <w:iCs/>
          <w:szCs w:val="18"/>
          <w:vertAlign w:val="subscript"/>
          <w:lang w:val="en-US" w:eastAsia="ru-RU"/>
        </w:rPr>
        <w:t>2</w:t>
      </w:r>
      <w:r w:rsidRPr="00721A93">
        <w:rPr>
          <w:rFonts w:cs="Arial"/>
          <w:i/>
          <w:iCs/>
          <w:szCs w:val="18"/>
          <w:lang w:val="en-US" w:eastAsia="ru-RU"/>
        </w:rPr>
        <w:t>/Fe</w:t>
      </w:r>
      <w:r w:rsidRPr="00721A93">
        <w:rPr>
          <w:rFonts w:cs="Arial"/>
          <w:i/>
          <w:iCs/>
          <w:szCs w:val="18"/>
          <w:vertAlign w:val="subscript"/>
          <w:lang w:val="en-US" w:eastAsia="ru-RU"/>
        </w:rPr>
        <w:t>2</w:t>
      </w:r>
      <w:r w:rsidRPr="00721A93">
        <w:rPr>
          <w:rFonts w:cs="Arial"/>
          <w:i/>
          <w:iCs/>
          <w:szCs w:val="18"/>
          <w:lang w:val="en-US" w:eastAsia="ru-RU"/>
        </w:rPr>
        <w:t>(MoO</w:t>
      </w:r>
      <w:r w:rsidRPr="00721A93">
        <w:rPr>
          <w:rFonts w:cs="Arial"/>
          <w:i/>
          <w:iCs/>
          <w:szCs w:val="18"/>
          <w:vertAlign w:val="subscript"/>
          <w:lang w:val="en-US" w:eastAsia="ru-RU"/>
        </w:rPr>
        <w:t>4</w:t>
      </w:r>
      <w:r w:rsidRPr="00721A93">
        <w:rPr>
          <w:rFonts w:cs="Arial"/>
          <w:i/>
          <w:iCs/>
          <w:szCs w:val="18"/>
          <w:lang w:val="en-US" w:eastAsia="ru-RU"/>
        </w:rPr>
        <w:t>)</w:t>
      </w:r>
      <w:r w:rsidRPr="00721A93">
        <w:rPr>
          <w:rFonts w:cs="Arial"/>
          <w:i/>
          <w:iCs/>
          <w:szCs w:val="18"/>
          <w:vertAlign w:val="subscript"/>
          <w:lang w:val="en-US" w:eastAsia="ru-RU"/>
        </w:rPr>
        <w:t>3</w:t>
      </w:r>
      <w:r w:rsidRPr="00721A93">
        <w:rPr>
          <w:rFonts w:cs="Arial"/>
          <w:i/>
          <w:iCs/>
          <w:szCs w:val="18"/>
          <w:lang w:val="en-US" w:eastAsia="ru-RU"/>
        </w:rPr>
        <w:t xml:space="preserve"> heterostructured composites with different Ti/Mo ratios: (a) T1/FM1, (b) T1.5/FM0.5, (c) T1.75/FM0.25, and (d) T1.9/FM0.1, confirming chemical purity and phase stoichiometry.</w:t>
      </w:r>
    </w:p>
    <w:p w14:paraId="3322DA81" w14:textId="18E7F7E4" w:rsidR="00331793" w:rsidRDefault="003A0D26" w:rsidP="00305346">
      <w:pPr>
        <w:tabs>
          <w:tab w:val="clear" w:pos="7100"/>
          <w:tab w:val="left" w:pos="0"/>
        </w:tabs>
        <w:rPr>
          <w:rFonts w:cs="Arial"/>
          <w:szCs w:val="18"/>
          <w:lang w:val="en-US" w:eastAsia="ru-RU"/>
        </w:rPr>
      </w:pPr>
      <w:r>
        <w:rPr>
          <w:rFonts w:cs="Arial"/>
          <w:szCs w:val="18"/>
        </w:rPr>
        <w:t xml:space="preserve">The SEM-EDS results are corroborated by DRS spectra (Figure 3a), which confirm the chemical integrity and phase distribution within the composites. Sample 5 (T1.9/FM0.1 composite) exhibited optimal photocatalytic performance under solar light, which consists mainly of visible light (Figure 3, 4a). The DRS spectrum of Sample 5 is closer to the iron molybdate (FM) baseline, showing lower reflectance </w:t>
      </w:r>
      <w:r w:rsidR="00EC363D">
        <w:rPr>
          <w:rFonts w:cs="Arial"/>
          <w:szCs w:val="18"/>
        </w:rPr>
        <w:t xml:space="preserve">and </w:t>
      </w:r>
      <w:r>
        <w:rPr>
          <w:rFonts w:cs="Arial"/>
          <w:szCs w:val="18"/>
        </w:rPr>
        <w:t xml:space="preserve">higher visible-light absorption. </w:t>
      </w:r>
      <w:r w:rsidR="00EC363D">
        <w:rPr>
          <w:rFonts w:cs="Arial"/>
          <w:szCs w:val="18"/>
        </w:rPr>
        <w:t>This</w:t>
      </w:r>
      <w:r>
        <w:rPr>
          <w:rFonts w:cs="Arial"/>
          <w:szCs w:val="18"/>
        </w:rPr>
        <w:t xml:space="preserve"> also indicates structural integration of titanium dioxide (T) and FM phases, as well as red-shift/visible-light activation. Compared to pristine T, the composite’s reflectance drops drastically in the 400–600 nm range. This confirms that coupling T with FM significantly enhances its visible-light absorption capability. The peak around 750 nm, followed by a localized absorption dip near 850 nm, might be attributed to complex optical transitions, sub-bandgap states, or specific surface/interfacial electronic interactions between the TiO</w:t>
      </w:r>
      <w:r w:rsidRPr="006F257E">
        <w:rPr>
          <w:rFonts w:cs="Arial"/>
          <w:szCs w:val="18"/>
          <w:vertAlign w:val="subscript"/>
        </w:rPr>
        <w:t>2</w:t>
      </w:r>
      <w:r>
        <w:rPr>
          <w:rFonts w:cs="Arial"/>
          <w:szCs w:val="18"/>
        </w:rPr>
        <w:t xml:space="preserve"> matrix and the iron molybdate clusters. </w:t>
      </w:r>
    </w:p>
    <w:p w14:paraId="0321FEEC" w14:textId="1A25542A" w:rsidR="001F21C0" w:rsidRDefault="001F21C0" w:rsidP="001F21C0">
      <w:pPr>
        <w:pStyle w:val="aff1"/>
        <w:tabs>
          <w:tab w:val="left" w:pos="0"/>
        </w:tabs>
        <w:rPr>
          <w:rFonts w:cs="Arial"/>
          <w:sz w:val="18"/>
          <w:szCs w:val="18"/>
        </w:rPr>
      </w:pPr>
      <w:r>
        <w:rPr>
          <w:rFonts w:cs="Arial"/>
          <w:sz w:val="18"/>
          <w:szCs w:val="18"/>
        </w:rPr>
        <w:t xml:space="preserve">  </w:t>
      </w:r>
      <w:r w:rsidR="00365530">
        <w:rPr>
          <w:rFonts w:cs="Arial"/>
          <w:noProof/>
          <w:sz w:val="18"/>
          <w:szCs w:val="18"/>
        </w:rPr>
        <w:drawing>
          <wp:inline distT="0" distB="0" distL="0" distR="0" wp14:anchorId="627EB438" wp14:editId="31A32ED1">
            <wp:extent cx="5342086" cy="2045335"/>
            <wp:effectExtent l="0" t="0" r="0" b="0"/>
            <wp:docPr id="5966647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75967" cy="2058307"/>
                    </a:xfrm>
                    <a:prstGeom prst="rect">
                      <a:avLst/>
                    </a:prstGeom>
                    <a:noFill/>
                  </pic:spPr>
                </pic:pic>
              </a:graphicData>
            </a:graphic>
          </wp:inline>
        </w:drawing>
      </w:r>
    </w:p>
    <w:p w14:paraId="214D1C17" w14:textId="77777777" w:rsidR="00580B9A" w:rsidRPr="00580B9A" w:rsidRDefault="00580B9A" w:rsidP="00580B9A">
      <w:pPr>
        <w:tabs>
          <w:tab w:val="clear" w:pos="7100"/>
          <w:tab w:val="left" w:pos="0"/>
        </w:tabs>
        <w:spacing w:before="240" w:after="240"/>
        <w:jc w:val="center"/>
        <w:rPr>
          <w:rFonts w:eastAsia="MS Mincho" w:cs="Arial"/>
          <w:b/>
          <w:bCs/>
          <w:szCs w:val="18"/>
          <w:lang w:val="en-US" w:eastAsia="ja-JP"/>
        </w:rPr>
      </w:pPr>
      <w:r>
        <w:rPr>
          <w:rFonts w:eastAsia="MS Mincho" w:cs="Arial"/>
          <w:b/>
          <w:bCs/>
          <w:szCs w:val="18"/>
          <w:lang w:val="en-US" w:eastAsia="ja-JP"/>
        </w:rPr>
        <w:t>a</w:t>
      </w:r>
      <w:r w:rsidRPr="00580B9A">
        <w:rPr>
          <w:rFonts w:eastAsia="MS Mincho" w:cs="Arial" w:hint="eastAsia"/>
          <w:b/>
          <w:bCs/>
          <w:szCs w:val="18"/>
          <w:lang w:val="en-US" w:eastAsia="ja-JP"/>
        </w:rPr>
        <w:t xml:space="preserve">                                                      b</w:t>
      </w:r>
    </w:p>
    <w:p w14:paraId="4A3D5723" w14:textId="261F7F18" w:rsidR="001F21C0" w:rsidRPr="00331793" w:rsidRDefault="001F21C0" w:rsidP="001F21C0">
      <w:pPr>
        <w:pStyle w:val="CETBodytext"/>
        <w:tabs>
          <w:tab w:val="clear" w:pos="7100"/>
          <w:tab w:val="left" w:pos="0"/>
          <w:tab w:val="left" w:pos="3840"/>
        </w:tabs>
        <w:spacing w:before="240" w:after="240"/>
        <w:rPr>
          <w:rFonts w:cs="Arial"/>
          <w:i/>
          <w:iCs/>
          <w:szCs w:val="18"/>
        </w:rPr>
      </w:pPr>
      <w:r w:rsidRPr="00721A93">
        <w:rPr>
          <w:rFonts w:cs="Arial"/>
          <w:i/>
          <w:iCs/>
          <w:szCs w:val="18"/>
        </w:rPr>
        <w:t xml:space="preserve">Figure </w:t>
      </w:r>
      <w:r>
        <w:rPr>
          <w:rFonts w:eastAsia="MS Mincho" w:cs="Arial" w:hint="eastAsia"/>
          <w:i/>
          <w:iCs/>
          <w:szCs w:val="18"/>
          <w:lang w:eastAsia="ja-JP"/>
        </w:rPr>
        <w:t>3</w:t>
      </w:r>
      <w:r w:rsidRPr="00721A93">
        <w:rPr>
          <w:rFonts w:cs="Arial"/>
          <w:i/>
          <w:iCs/>
          <w:szCs w:val="18"/>
        </w:rPr>
        <w:t>:</w:t>
      </w:r>
      <w:r>
        <w:rPr>
          <w:rFonts w:cs="Arial"/>
          <w:i/>
          <w:iCs/>
          <w:szCs w:val="18"/>
        </w:rPr>
        <w:t xml:space="preserve"> </w:t>
      </w:r>
      <w:r w:rsidR="00331793">
        <w:rPr>
          <w:rFonts w:cs="Arial"/>
          <w:i/>
          <w:iCs/>
          <w:szCs w:val="18"/>
          <w:lang w:val="uz-Latn-UZ"/>
        </w:rPr>
        <w:t>DRS-spectra</w:t>
      </w:r>
      <w:r w:rsidR="00331793">
        <w:rPr>
          <w:rFonts w:cs="Arial"/>
          <w:i/>
          <w:iCs/>
          <w:szCs w:val="18"/>
        </w:rPr>
        <w:t xml:space="preserve"> </w:t>
      </w:r>
      <w:r w:rsidRPr="00721A93">
        <w:rPr>
          <w:rFonts w:cs="Arial"/>
          <w:i/>
          <w:iCs/>
          <w:szCs w:val="18"/>
        </w:rPr>
        <w:t xml:space="preserve">(a) </w:t>
      </w:r>
      <w:r w:rsidR="00331793">
        <w:rPr>
          <w:rFonts w:cs="Arial"/>
          <w:i/>
          <w:iCs/>
          <w:szCs w:val="18"/>
        </w:rPr>
        <w:t xml:space="preserve">and </w:t>
      </w:r>
      <w:r w:rsidRPr="00721A93">
        <w:rPr>
          <w:rFonts w:cs="Arial"/>
          <w:i/>
          <w:iCs/>
          <w:szCs w:val="18"/>
        </w:rPr>
        <w:t xml:space="preserve"> (b) </w:t>
      </w:r>
      <w:r w:rsidR="00331793">
        <w:rPr>
          <w:rFonts w:cs="Arial"/>
          <w:szCs w:val="18"/>
          <w:lang w:val="uz-Latn-UZ" w:eastAsia="ru-RU"/>
        </w:rPr>
        <w:t>Type II Heterojunction mechanism</w:t>
      </w:r>
    </w:p>
    <w:p w14:paraId="31D874B3" w14:textId="56C031A8" w:rsidR="00FD754D" w:rsidRPr="00365530" w:rsidRDefault="003A0D26" w:rsidP="00FD754D">
      <w:pPr>
        <w:tabs>
          <w:tab w:val="clear" w:pos="7100"/>
          <w:tab w:val="left" w:pos="0"/>
        </w:tabs>
        <w:rPr>
          <w:rFonts w:cs="Arial"/>
          <w:szCs w:val="18"/>
          <w:lang w:val="en-US" w:eastAsia="ru-RU"/>
        </w:rPr>
      </w:pPr>
      <w:r>
        <w:rPr>
          <w:rFonts w:cs="Arial"/>
          <w:szCs w:val="18"/>
          <w:lang w:val="en-US" w:eastAsia="ru-RU"/>
        </w:rPr>
        <w:lastRenderedPageBreak/>
        <w:t xml:space="preserve">The particle distribution is free of agglomeration, ensuring maximal exposure of active surface sites. The Type II Heterojunction mechanism is based on the uniform, highly homogeneous distribution of Ti, Mo, and Fe across the composite surface at both micron and submicron scales. Such a high degree of dispersion and robust connectivity act as an “electronic bridge,” facilitating efficient contact with the nitrafurazone molecule and promoting the separation of photogenerated electron-hole pairs, </w:t>
      </w:r>
      <w:r w:rsidR="009361BB">
        <w:rPr>
          <w:rFonts w:cs="Arial"/>
          <w:szCs w:val="18"/>
          <w:lang w:val="uz-Latn-UZ" w:eastAsia="ru-RU"/>
        </w:rPr>
        <w:t>finally</w:t>
      </w:r>
      <w:r>
        <w:rPr>
          <w:rFonts w:cs="Arial"/>
          <w:szCs w:val="18"/>
          <w:lang w:val="en-US" w:eastAsia="ru-RU"/>
        </w:rPr>
        <w:t xml:space="preserve"> lowering recombination. This correlates directly with photocatalytic activity (</w:t>
      </w:r>
      <w:r w:rsidRPr="003A0D26">
        <w:rPr>
          <w:rFonts w:cs="Arial"/>
          <w:i/>
          <w:iCs/>
          <w:szCs w:val="18"/>
          <w:lang w:val="en-US" w:eastAsia="ru-RU"/>
        </w:rPr>
        <w:t>k</w:t>
      </w:r>
      <w:r w:rsidRPr="003A0D26">
        <w:rPr>
          <w:rFonts w:cs="Arial"/>
          <w:szCs w:val="18"/>
          <w:vertAlign w:val="subscript"/>
          <w:lang w:val="en-US" w:eastAsia="ru-RU"/>
        </w:rPr>
        <w:t>app</w:t>
      </w:r>
      <w:r>
        <w:rPr>
          <w:rFonts w:cs="Arial"/>
          <w:szCs w:val="18"/>
          <w:lang w:val="en-US" w:eastAsia="ru-RU"/>
        </w:rPr>
        <w:t xml:space="preserve">), indicating that the optimized stoichiometry maximizes the synergistic effect between the two semiconductors (Figure 3b). </w:t>
      </w:r>
    </w:p>
    <w:p w14:paraId="62743B40" w14:textId="1E3D8BE8" w:rsidR="00365530" w:rsidRPr="003B4508" w:rsidRDefault="009361BB" w:rsidP="00365530">
      <w:pPr>
        <w:tabs>
          <w:tab w:val="clear" w:pos="7100"/>
          <w:tab w:val="left" w:pos="0"/>
        </w:tabs>
        <w:rPr>
          <w:rFonts w:cs="Arial"/>
          <w:szCs w:val="18"/>
          <w:lang w:val="en-US" w:eastAsia="ru-RU"/>
        </w:rPr>
      </w:pPr>
      <w:r>
        <w:rPr>
          <w:rFonts w:cs="Arial"/>
          <w:szCs w:val="18"/>
          <w:lang w:val="en-US" w:eastAsia="ru-RU"/>
        </w:rPr>
        <w:t xml:space="preserve">The photocatalytic degradation mechanism of nitrofurazone (NFZ)—a synthetic nitrofuran antibiotic—involves a series of non-selective, multi-step advanced oxidation and reduction pathways initiated by reactive oxygen species and photogenerated holes. </w:t>
      </w:r>
    </w:p>
    <w:p w14:paraId="2011F66C" w14:textId="77777777" w:rsidR="00365530" w:rsidRDefault="00365530" w:rsidP="00365530">
      <w:pPr>
        <w:tabs>
          <w:tab w:val="clear" w:pos="7100"/>
          <w:tab w:val="left" w:pos="0"/>
        </w:tabs>
        <w:rPr>
          <w:rFonts w:cs="Arial"/>
          <w:szCs w:val="18"/>
          <w:lang w:val="en-US" w:eastAsia="ru-RU"/>
        </w:rPr>
      </w:pPr>
    </w:p>
    <w:p w14:paraId="6C273D7C" w14:textId="722B4770" w:rsidR="00365530" w:rsidRDefault="00365530" w:rsidP="00365530">
      <w:pPr>
        <w:tabs>
          <w:tab w:val="clear" w:pos="7100"/>
          <w:tab w:val="left" w:pos="0"/>
        </w:tabs>
        <w:rPr>
          <w:rFonts w:cs="Arial"/>
          <w:szCs w:val="18"/>
          <w:lang w:val="en-US" w:eastAsia="ru-RU"/>
        </w:rPr>
      </w:pPr>
      <w:r w:rsidRPr="002204B8">
        <w:rPr>
          <w:rFonts w:cs="Arial"/>
          <w:szCs w:val="18"/>
          <w:lang w:val="en-US" w:eastAsia="ru-RU"/>
        </w:rPr>
        <w:t>Nitrofurazone + OH /O</w:t>
      </w:r>
      <w:r w:rsidRPr="00365530">
        <w:rPr>
          <w:rFonts w:cs="Arial"/>
          <w:szCs w:val="18"/>
          <w:vertAlign w:val="subscript"/>
          <w:lang w:val="en-US" w:eastAsia="ru-RU"/>
        </w:rPr>
        <w:t>2</w:t>
      </w:r>
      <w:r w:rsidRPr="00365530">
        <w:rPr>
          <w:rFonts w:cs="Arial"/>
          <w:szCs w:val="18"/>
          <w:vertAlign w:val="superscript"/>
          <w:lang w:val="en-US" w:eastAsia="ru-RU"/>
        </w:rPr>
        <w:t>-</w:t>
      </w:r>
      <w:r w:rsidRPr="002204B8">
        <w:rPr>
          <w:rFonts w:cs="Arial"/>
          <w:szCs w:val="18"/>
          <w:lang w:val="en-US" w:eastAsia="ru-RU"/>
        </w:rPr>
        <w:t xml:space="preserve"> / h</w:t>
      </w:r>
      <w:r w:rsidRPr="00365530">
        <w:rPr>
          <w:rFonts w:cs="Arial"/>
          <w:szCs w:val="18"/>
          <w:vertAlign w:val="superscript"/>
          <w:lang w:val="en-US" w:eastAsia="ru-RU"/>
        </w:rPr>
        <w:t>+</w:t>
      </w:r>
      <w:r w:rsidRPr="002204B8">
        <w:rPr>
          <w:rFonts w:cs="Arial"/>
          <w:szCs w:val="18"/>
          <w:lang w:val="en-US" w:eastAsia="ru-RU"/>
        </w:rPr>
        <w:t xml:space="preserve"> </w:t>
      </w:r>
      <w:r>
        <w:rPr>
          <w:rFonts w:cs="Arial"/>
          <w:szCs w:val="18"/>
          <w:lang w:val="en-US" w:eastAsia="ru-RU"/>
        </w:rPr>
        <w:t>→intermediates→</w:t>
      </w:r>
      <w:r w:rsidRPr="002204B8">
        <w:rPr>
          <w:rFonts w:cs="Arial"/>
          <w:szCs w:val="18"/>
          <w:lang w:val="en-US" w:eastAsia="ru-RU"/>
        </w:rPr>
        <w:t>CO</w:t>
      </w:r>
      <w:r w:rsidRPr="00365530">
        <w:rPr>
          <w:rFonts w:cs="Arial"/>
          <w:szCs w:val="18"/>
          <w:vertAlign w:val="subscript"/>
          <w:lang w:val="en-US" w:eastAsia="ru-RU"/>
        </w:rPr>
        <w:t>2</w:t>
      </w:r>
      <w:r w:rsidRPr="002204B8">
        <w:rPr>
          <w:rFonts w:cs="Arial"/>
          <w:szCs w:val="18"/>
          <w:lang w:val="en-US" w:eastAsia="ru-RU"/>
        </w:rPr>
        <w:t xml:space="preserve"> + H</w:t>
      </w:r>
      <w:r w:rsidRPr="00365530">
        <w:rPr>
          <w:rFonts w:cs="Arial"/>
          <w:szCs w:val="18"/>
          <w:vertAlign w:val="subscript"/>
          <w:lang w:val="en-US" w:eastAsia="ru-RU"/>
        </w:rPr>
        <w:t>2</w:t>
      </w:r>
      <w:r w:rsidRPr="002204B8">
        <w:rPr>
          <w:rFonts w:cs="Arial"/>
          <w:szCs w:val="18"/>
          <w:lang w:val="en-US" w:eastAsia="ru-RU"/>
        </w:rPr>
        <w:t>O + NO</w:t>
      </w:r>
      <w:r w:rsidRPr="00365530">
        <w:rPr>
          <w:rFonts w:cs="Arial"/>
          <w:szCs w:val="18"/>
          <w:vertAlign w:val="subscript"/>
          <w:lang w:val="en-US" w:eastAsia="ru-RU"/>
        </w:rPr>
        <w:t>3</w:t>
      </w:r>
      <w:r w:rsidRPr="00365530">
        <w:rPr>
          <w:rFonts w:cs="Arial"/>
          <w:szCs w:val="18"/>
          <w:vertAlign w:val="superscript"/>
          <w:lang w:val="en-US" w:eastAsia="ru-RU"/>
        </w:rPr>
        <w:t>-</w:t>
      </w:r>
      <w:r w:rsidRPr="002204B8">
        <w:rPr>
          <w:rFonts w:cs="Arial"/>
          <w:szCs w:val="18"/>
          <w:lang w:val="en-US" w:eastAsia="ru-RU"/>
        </w:rPr>
        <w:t xml:space="preserve"> + NH</w:t>
      </w:r>
      <w:r w:rsidRPr="00365530">
        <w:rPr>
          <w:rFonts w:cs="Arial"/>
          <w:szCs w:val="18"/>
          <w:vertAlign w:val="subscript"/>
          <w:lang w:val="en-US" w:eastAsia="ru-RU"/>
        </w:rPr>
        <w:t>4</w:t>
      </w:r>
      <w:r w:rsidRPr="00365530">
        <w:rPr>
          <w:rFonts w:cs="Arial"/>
          <w:szCs w:val="18"/>
          <w:vertAlign w:val="superscript"/>
          <w:lang w:val="en-US" w:eastAsia="ru-RU"/>
        </w:rPr>
        <w:t>+</w:t>
      </w:r>
    </w:p>
    <w:p w14:paraId="24FEEA6E" w14:textId="77777777" w:rsidR="00365530" w:rsidRDefault="00365530" w:rsidP="00FD754D">
      <w:pPr>
        <w:tabs>
          <w:tab w:val="clear" w:pos="7100"/>
          <w:tab w:val="left" w:pos="0"/>
        </w:tabs>
        <w:rPr>
          <w:rFonts w:cs="Arial"/>
          <w:szCs w:val="18"/>
          <w:lang w:val="en-US" w:eastAsia="ru-RU"/>
        </w:rPr>
      </w:pPr>
    </w:p>
    <w:p w14:paraId="1D1D3471" w14:textId="5A739EFB" w:rsidR="00414062" w:rsidRDefault="00414062" w:rsidP="00414062">
      <w:pPr>
        <w:tabs>
          <w:tab w:val="clear" w:pos="7100"/>
          <w:tab w:val="left" w:pos="0"/>
        </w:tabs>
        <w:rPr>
          <w:rFonts w:cs="Arial"/>
          <w:szCs w:val="18"/>
          <w:lang w:val="en-US" w:eastAsia="ru-RU"/>
        </w:rPr>
      </w:pPr>
      <w:r w:rsidRPr="00721A93">
        <w:rPr>
          <w:rFonts w:cs="Arial"/>
          <w:szCs w:val="18"/>
          <w:lang w:val="en-US" w:eastAsia="ru-RU"/>
        </w:rPr>
        <w:t>The relationship between the mass ratio of T/FM components and the resulting apparent rate constant (</w:t>
      </w:r>
      <w:r w:rsidRPr="009F22F2">
        <w:rPr>
          <w:rFonts w:cs="Arial"/>
          <w:i/>
          <w:iCs/>
          <w:szCs w:val="18"/>
          <w:lang w:val="en-US" w:eastAsia="ru-RU"/>
        </w:rPr>
        <w:t>k</w:t>
      </w:r>
      <w:r w:rsidRPr="009F22F2">
        <w:rPr>
          <w:rFonts w:cs="Arial"/>
          <w:i/>
          <w:iCs/>
          <w:szCs w:val="18"/>
          <w:vertAlign w:val="subscript"/>
          <w:lang w:val="en-US" w:eastAsia="ru-RU"/>
        </w:rPr>
        <w:t>app</w:t>
      </w:r>
      <w:r w:rsidRPr="00721A93">
        <w:rPr>
          <w:rFonts w:cs="Arial"/>
          <w:szCs w:val="18"/>
          <w:lang w:val="en-US" w:eastAsia="ru-RU"/>
        </w:rPr>
        <w:t xml:space="preserve">) is illustrated in Figure 4. The data </w:t>
      </w:r>
      <w:r w:rsidR="00A07754">
        <w:rPr>
          <w:rFonts w:cs="Arial"/>
          <w:szCs w:val="18"/>
          <w:lang w:val="en-US" w:eastAsia="ru-RU"/>
        </w:rPr>
        <w:t>reveal</w:t>
      </w:r>
      <w:r w:rsidRPr="00721A93">
        <w:rPr>
          <w:rFonts w:cs="Arial"/>
          <w:szCs w:val="18"/>
          <w:lang w:val="en-US" w:eastAsia="ru-RU"/>
        </w:rPr>
        <w:t xml:space="preserve"> a non-linear correlation, indicating that the photocatalytic efficiency is highly sensitive to the stoichiometric balance between TiO</w:t>
      </w:r>
      <w:r w:rsidRPr="00721A93">
        <w:rPr>
          <w:rFonts w:cs="Arial"/>
          <w:szCs w:val="18"/>
          <w:vertAlign w:val="subscript"/>
          <w:lang w:val="en-US" w:eastAsia="ru-RU"/>
        </w:rPr>
        <w:t>2</w:t>
      </w:r>
      <w:r w:rsidRPr="00721A93">
        <w:rPr>
          <w:rFonts w:cs="Arial"/>
          <w:szCs w:val="18"/>
          <w:lang w:val="en-US" w:eastAsia="ru-RU"/>
        </w:rPr>
        <w:t xml:space="preserve"> and Fe</w:t>
      </w:r>
      <w:r w:rsidRPr="00721A93">
        <w:rPr>
          <w:rFonts w:cs="Arial"/>
          <w:szCs w:val="18"/>
          <w:vertAlign w:val="subscript"/>
          <w:lang w:val="en-US" w:eastAsia="ru-RU"/>
        </w:rPr>
        <w:t>2</w:t>
      </w:r>
      <w:r w:rsidRPr="00721A93">
        <w:rPr>
          <w:rFonts w:cs="Arial"/>
          <w:szCs w:val="18"/>
          <w:lang w:val="en-US" w:eastAsia="ru-RU"/>
        </w:rPr>
        <w:t>(MoO</w:t>
      </w:r>
      <w:r w:rsidRPr="00721A93">
        <w:rPr>
          <w:rFonts w:cs="Arial"/>
          <w:szCs w:val="18"/>
          <w:vertAlign w:val="subscript"/>
          <w:lang w:val="en-US" w:eastAsia="ru-RU"/>
        </w:rPr>
        <w:t>4</w:t>
      </w:r>
      <w:r w:rsidRPr="00721A93">
        <w:rPr>
          <w:rFonts w:cs="Arial"/>
          <w:szCs w:val="18"/>
          <w:lang w:val="en-US" w:eastAsia="ru-RU"/>
        </w:rPr>
        <w:t>)</w:t>
      </w:r>
      <w:r w:rsidRPr="00721A93">
        <w:rPr>
          <w:rFonts w:cs="Arial"/>
          <w:szCs w:val="18"/>
          <w:vertAlign w:val="subscript"/>
          <w:lang w:val="en-US" w:eastAsia="ru-RU"/>
        </w:rPr>
        <w:t>3</w:t>
      </w:r>
      <w:r w:rsidRPr="00721A93">
        <w:rPr>
          <w:rFonts w:cs="Arial"/>
          <w:szCs w:val="18"/>
          <w:lang w:val="en-US" w:eastAsia="ru-RU"/>
        </w:rPr>
        <w:t>. While pristine TiO</w:t>
      </w:r>
      <w:r w:rsidRPr="00721A93">
        <w:rPr>
          <w:rFonts w:cs="Arial"/>
          <w:szCs w:val="18"/>
          <w:vertAlign w:val="subscript"/>
          <w:lang w:val="en-US" w:eastAsia="ru-RU"/>
        </w:rPr>
        <w:t>2</w:t>
      </w:r>
      <w:r w:rsidRPr="00721A93">
        <w:rPr>
          <w:rFonts w:cs="Arial"/>
          <w:szCs w:val="18"/>
          <w:lang w:val="en-US" w:eastAsia="ru-RU"/>
        </w:rPr>
        <w:t xml:space="preserve"> (Sample 6) and Fe</w:t>
      </w:r>
      <w:r w:rsidRPr="00721A93">
        <w:rPr>
          <w:rFonts w:cs="Arial"/>
          <w:szCs w:val="18"/>
          <w:vertAlign w:val="subscript"/>
          <w:lang w:val="en-US" w:eastAsia="ru-RU"/>
        </w:rPr>
        <w:t>2</w:t>
      </w:r>
      <w:r w:rsidRPr="00721A93">
        <w:rPr>
          <w:rFonts w:cs="Arial"/>
          <w:szCs w:val="18"/>
          <w:lang w:val="en-US" w:eastAsia="ru-RU"/>
        </w:rPr>
        <w:t>(MoO</w:t>
      </w:r>
      <w:r w:rsidRPr="00721A93">
        <w:rPr>
          <w:rFonts w:cs="Arial"/>
          <w:szCs w:val="18"/>
          <w:vertAlign w:val="subscript"/>
          <w:lang w:val="en-US" w:eastAsia="ru-RU"/>
        </w:rPr>
        <w:t>4</w:t>
      </w:r>
      <w:r w:rsidRPr="00721A93">
        <w:rPr>
          <w:rFonts w:cs="Arial"/>
          <w:szCs w:val="18"/>
          <w:lang w:val="en-US" w:eastAsia="ru-RU"/>
        </w:rPr>
        <w:t>)</w:t>
      </w:r>
      <w:r w:rsidRPr="00721A93">
        <w:rPr>
          <w:rFonts w:cs="Arial"/>
          <w:szCs w:val="18"/>
          <w:vertAlign w:val="subscript"/>
          <w:lang w:val="en-US" w:eastAsia="ru-RU"/>
        </w:rPr>
        <w:t>3</w:t>
      </w:r>
      <w:r w:rsidRPr="00721A93">
        <w:rPr>
          <w:rFonts w:cs="Arial"/>
          <w:szCs w:val="18"/>
          <w:lang w:val="en-US" w:eastAsia="ru-RU"/>
        </w:rPr>
        <w:t xml:space="preserve"> (Sample 1) exhibit baseline activities, the heterostructured composites show a significant enhancement in performance. Specifically, Sample 5 (T1.9/FM0.1) achieved the highest photocatalytic activity with k</w:t>
      </w:r>
      <w:r w:rsidRPr="00721A93">
        <w:rPr>
          <w:rFonts w:cs="Arial"/>
          <w:szCs w:val="18"/>
          <w:vertAlign w:val="subscript"/>
          <w:lang w:val="en-US" w:eastAsia="ru-RU"/>
        </w:rPr>
        <w:t>app</w:t>
      </w:r>
      <w:r w:rsidRPr="00721A93">
        <w:rPr>
          <w:rFonts w:cs="Arial"/>
          <w:szCs w:val="18"/>
          <w:lang w:val="en-US" w:eastAsia="ru-RU"/>
        </w:rPr>
        <w:t xml:space="preserve"> = 0.0928 min</w:t>
      </w:r>
      <w:r w:rsidRPr="00721A93">
        <w:rPr>
          <w:rFonts w:cs="Arial"/>
          <w:szCs w:val="18"/>
          <w:vertAlign w:val="superscript"/>
          <w:lang w:val="en-US" w:eastAsia="ru-RU"/>
        </w:rPr>
        <w:t>-1</w:t>
      </w:r>
      <w:r w:rsidRPr="00721A93">
        <w:rPr>
          <w:rFonts w:cs="Arial"/>
          <w:szCs w:val="18"/>
          <w:lang w:val="en-US" w:eastAsia="ru-RU"/>
        </w:rPr>
        <w:t xml:space="preserve">. This peak efficiency is attributed to the optimal synergy between the two semiconductors at this specific ratio. The significant increase in </w:t>
      </w:r>
      <w:r w:rsidRPr="009F22F2">
        <w:rPr>
          <w:rFonts w:cs="Arial"/>
          <w:i/>
          <w:iCs/>
          <w:szCs w:val="18"/>
          <w:lang w:val="en-US" w:eastAsia="ru-RU"/>
        </w:rPr>
        <w:t>k</w:t>
      </w:r>
      <w:r w:rsidRPr="009F22F2">
        <w:rPr>
          <w:rFonts w:cs="Arial"/>
          <w:i/>
          <w:iCs/>
          <w:szCs w:val="18"/>
          <w:vertAlign w:val="subscript"/>
          <w:lang w:val="en-US" w:eastAsia="ru-RU"/>
        </w:rPr>
        <w:t>app</w:t>
      </w:r>
      <w:r w:rsidRPr="00721A93">
        <w:rPr>
          <w:rFonts w:cs="Arial"/>
          <w:szCs w:val="18"/>
          <w:lang w:val="en-US" w:eastAsia="ru-RU"/>
        </w:rPr>
        <w:t xml:space="preserve"> for Sample 5 correlates directly with the</w:t>
      </w:r>
      <w:r w:rsidR="001F21C0">
        <w:rPr>
          <w:rFonts w:cs="Arial"/>
          <w:szCs w:val="18"/>
          <w:lang w:val="en-US" w:eastAsia="ru-RU"/>
        </w:rPr>
        <w:t xml:space="preserve"> </w:t>
      </w:r>
      <w:r w:rsidRPr="00721A93">
        <w:rPr>
          <w:rFonts w:cs="Arial"/>
          <w:szCs w:val="18"/>
          <w:lang w:val="en-US" w:eastAsia="ru-RU"/>
        </w:rPr>
        <w:t xml:space="preserve">high-dispersion morphology observed in the SEM analysis (Figure 1 d), which provides a larger effective surface area for </w:t>
      </w:r>
      <w:r w:rsidR="00BE1578">
        <w:rPr>
          <w:rFonts w:cs="Arial"/>
          <w:szCs w:val="18"/>
          <w:lang w:val="en-US" w:eastAsia="ru-RU"/>
        </w:rPr>
        <w:t>n</w:t>
      </w:r>
      <w:r w:rsidRPr="00721A93">
        <w:rPr>
          <w:rFonts w:cs="Arial"/>
          <w:szCs w:val="18"/>
          <w:lang w:val="en-US" w:eastAsia="ru-RU"/>
        </w:rPr>
        <w:t>itrofurazone</w:t>
      </w:r>
      <w:r w:rsidR="009361BB" w:rsidRPr="009361BB">
        <w:rPr>
          <w:rFonts w:cs="Arial"/>
          <w:szCs w:val="18"/>
          <w:lang w:val="en-US" w:eastAsia="ru-RU"/>
        </w:rPr>
        <w:t xml:space="preserve"> </w:t>
      </w:r>
      <w:r w:rsidR="009361BB" w:rsidRPr="00721A93">
        <w:rPr>
          <w:rFonts w:cs="Arial"/>
          <w:szCs w:val="18"/>
          <w:lang w:val="en-US" w:eastAsia="ru-RU"/>
        </w:rPr>
        <w:t>adsorption</w:t>
      </w:r>
      <w:r w:rsidRPr="00721A93">
        <w:rPr>
          <w:rFonts w:cs="Arial"/>
          <w:szCs w:val="18"/>
          <w:lang w:val="en-US" w:eastAsia="ru-RU"/>
        </w:rPr>
        <w:t>. Furthermore, the mismatch between the theoretical efficiency</w:t>
      </w:r>
      <w:r w:rsidR="006B46F4">
        <w:rPr>
          <w:rFonts w:cs="Arial"/>
          <w:szCs w:val="18"/>
          <w:lang w:val="en-US" w:eastAsia="ru-RU"/>
        </w:rPr>
        <w:t xml:space="preserve"> for </w:t>
      </w:r>
      <w:r w:rsidR="009361BB">
        <w:rPr>
          <w:rFonts w:cs="Arial"/>
          <w:szCs w:val="18"/>
          <w:lang w:val="en-US" w:eastAsia="ru-RU"/>
        </w:rPr>
        <w:t xml:space="preserve">a </w:t>
      </w:r>
      <w:r w:rsidR="006B46F4">
        <w:rPr>
          <w:rFonts w:cs="Arial"/>
          <w:szCs w:val="18"/>
          <w:lang w:val="en-US" w:eastAsia="ru-RU"/>
        </w:rPr>
        <w:t>simple mixture of T and FM</w:t>
      </w:r>
      <w:r w:rsidRPr="00721A93">
        <w:rPr>
          <w:rFonts w:cs="Arial"/>
          <w:szCs w:val="18"/>
          <w:lang w:val="en-US" w:eastAsia="ru-RU"/>
        </w:rPr>
        <w:t xml:space="preserve"> (purple line) and </w:t>
      </w:r>
      <w:r w:rsidR="00365530">
        <w:rPr>
          <w:rFonts w:cs="Arial"/>
          <w:szCs w:val="18"/>
          <w:lang w:val="en-US" w:eastAsia="ru-RU"/>
        </w:rPr>
        <w:t>the experimental results (green line) suggests that performance is governed not only by the bulk quantities of the materials but also by the quality of the heterojunction interface, which facilitates efficient charge-carrier</w:t>
      </w:r>
      <w:r w:rsidRPr="00721A93">
        <w:rPr>
          <w:rFonts w:cs="Arial"/>
          <w:szCs w:val="18"/>
          <w:lang w:val="en-US" w:eastAsia="ru-RU"/>
        </w:rPr>
        <w:t xml:space="preserve"> separation and minimizes recombination losses.</w:t>
      </w:r>
    </w:p>
    <w:p w14:paraId="59FC7C19" w14:textId="1FBCD295" w:rsidR="001B212F" w:rsidRDefault="00D20490" w:rsidP="00414062">
      <w:pPr>
        <w:tabs>
          <w:tab w:val="clear" w:pos="7100"/>
          <w:tab w:val="left" w:pos="0"/>
        </w:tabs>
        <w:spacing w:before="240" w:after="240"/>
        <w:jc w:val="left"/>
        <w:rPr>
          <w:rFonts w:eastAsia="MS Mincho" w:cs="Arial"/>
          <w:b/>
          <w:bCs/>
          <w:szCs w:val="18"/>
          <w:lang w:val="ru-RU" w:eastAsia="ja-JP"/>
        </w:rPr>
      </w:pPr>
      <w:r w:rsidRPr="00D20490">
        <w:rPr>
          <w:rFonts w:cs="Arial"/>
          <w:b/>
          <w:bCs/>
          <w:noProof/>
          <w:szCs w:val="18"/>
          <w:lang w:val="en-US" w:eastAsia="ru-RU"/>
        </w:rPr>
        <w:drawing>
          <wp:inline distT="0" distB="0" distL="0" distR="0" wp14:anchorId="4CF6BC56" wp14:editId="101F5807">
            <wp:extent cx="2735580" cy="1809401"/>
            <wp:effectExtent l="0" t="0" r="7620" b="635"/>
            <wp:docPr id="1194984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984533" name=""/>
                    <pic:cNvPicPr/>
                  </pic:nvPicPr>
                  <pic:blipFill>
                    <a:blip r:embed="rId14"/>
                    <a:stretch>
                      <a:fillRect/>
                    </a:stretch>
                  </pic:blipFill>
                  <pic:spPr>
                    <a:xfrm>
                      <a:off x="0" y="0"/>
                      <a:ext cx="2751253" cy="1819768"/>
                    </a:xfrm>
                    <a:prstGeom prst="rect">
                      <a:avLst/>
                    </a:prstGeom>
                  </pic:spPr>
                </pic:pic>
              </a:graphicData>
            </a:graphic>
          </wp:inline>
        </w:drawing>
      </w:r>
      <w:r w:rsidR="001F21C0">
        <w:rPr>
          <w:rFonts w:cs="Arial"/>
          <w:b/>
          <w:bCs/>
          <w:noProof/>
          <w:szCs w:val="18"/>
          <w:lang w:val="en-US" w:eastAsia="ru-RU"/>
        </w:rPr>
        <w:drawing>
          <wp:inline distT="0" distB="0" distL="0" distR="0" wp14:anchorId="7A4D892C" wp14:editId="0B945DCA">
            <wp:extent cx="2534093" cy="1801586"/>
            <wp:effectExtent l="0" t="0" r="0" b="8255"/>
            <wp:docPr id="50720109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41358" cy="1806751"/>
                    </a:xfrm>
                    <a:prstGeom prst="rect">
                      <a:avLst/>
                    </a:prstGeom>
                    <a:noFill/>
                  </pic:spPr>
                </pic:pic>
              </a:graphicData>
            </a:graphic>
          </wp:inline>
        </w:drawing>
      </w:r>
    </w:p>
    <w:p w14:paraId="3A1A467A" w14:textId="6CB8A3FF" w:rsidR="00580B9A" w:rsidRPr="00580B9A" w:rsidRDefault="00580B9A" w:rsidP="00580B9A">
      <w:pPr>
        <w:tabs>
          <w:tab w:val="clear" w:pos="7100"/>
          <w:tab w:val="left" w:pos="0"/>
        </w:tabs>
        <w:spacing w:before="240" w:after="240"/>
        <w:jc w:val="center"/>
        <w:rPr>
          <w:rFonts w:eastAsia="MS Mincho" w:cs="Arial"/>
          <w:b/>
          <w:bCs/>
          <w:szCs w:val="18"/>
          <w:lang w:val="en-US" w:eastAsia="ja-JP"/>
        </w:rPr>
      </w:pPr>
      <w:r>
        <w:rPr>
          <w:rFonts w:eastAsia="MS Mincho" w:cs="Arial"/>
          <w:b/>
          <w:bCs/>
          <w:szCs w:val="18"/>
          <w:lang w:val="en-US" w:eastAsia="ja-JP"/>
        </w:rPr>
        <w:t>a</w:t>
      </w:r>
      <w:r w:rsidRPr="00580B9A">
        <w:rPr>
          <w:rFonts w:eastAsia="MS Mincho" w:cs="Arial" w:hint="eastAsia"/>
          <w:b/>
          <w:bCs/>
          <w:szCs w:val="18"/>
          <w:lang w:val="en-US" w:eastAsia="ja-JP"/>
        </w:rPr>
        <w:t xml:space="preserve">                                                      b</w:t>
      </w:r>
    </w:p>
    <w:p w14:paraId="6A73CD85" w14:textId="05B0EA93" w:rsidR="003502D9" w:rsidRPr="00721A93" w:rsidRDefault="003502D9" w:rsidP="00414062">
      <w:pPr>
        <w:tabs>
          <w:tab w:val="clear" w:pos="7100"/>
          <w:tab w:val="left" w:pos="0"/>
        </w:tabs>
        <w:spacing w:before="240" w:after="240"/>
        <w:jc w:val="left"/>
        <w:rPr>
          <w:rFonts w:cs="Arial"/>
          <w:i/>
          <w:iCs/>
          <w:szCs w:val="18"/>
          <w:lang w:val="en-US" w:eastAsia="ru-RU"/>
        </w:rPr>
      </w:pPr>
      <w:r w:rsidRPr="00721A93">
        <w:rPr>
          <w:rFonts w:cs="Arial"/>
          <w:i/>
          <w:iCs/>
          <w:szCs w:val="18"/>
          <w:lang w:val="en-US" w:eastAsia="ru-RU"/>
        </w:rPr>
        <w:t xml:space="preserve">Figure 4: </w:t>
      </w:r>
      <w:r w:rsidR="006B46F4">
        <w:rPr>
          <w:rFonts w:cs="Arial"/>
          <w:i/>
          <w:iCs/>
          <w:szCs w:val="18"/>
          <w:lang w:val="uz-Latn-UZ" w:eastAsia="ru-RU"/>
        </w:rPr>
        <w:t>Spectral range of light for photoc</w:t>
      </w:r>
      <w:r w:rsidR="00C62F5D">
        <w:rPr>
          <w:rFonts w:eastAsia="MS Mincho" w:cs="Arial"/>
          <w:i/>
          <w:iCs/>
          <w:szCs w:val="18"/>
          <w:lang w:val="en-US" w:eastAsia="ja-JP"/>
        </w:rPr>
        <w:t>a</w:t>
      </w:r>
      <w:r w:rsidR="006B46F4">
        <w:rPr>
          <w:rFonts w:cs="Arial"/>
          <w:i/>
          <w:iCs/>
          <w:szCs w:val="18"/>
          <w:lang w:val="uz-Latn-UZ" w:eastAsia="ru-RU"/>
        </w:rPr>
        <w:t>talytic tests</w:t>
      </w:r>
      <w:r w:rsidR="00580B9A" w:rsidRPr="00580B9A">
        <w:rPr>
          <w:rFonts w:cs="Arial"/>
          <w:i/>
          <w:iCs/>
          <w:szCs w:val="18"/>
          <w:lang w:val="en-US" w:eastAsia="ru-RU"/>
        </w:rPr>
        <w:t xml:space="preserve"> </w:t>
      </w:r>
      <w:r w:rsidR="00580B9A">
        <w:rPr>
          <w:rFonts w:eastAsia="MS Mincho" w:cs="Arial"/>
          <w:i/>
          <w:iCs/>
          <w:szCs w:val="18"/>
          <w:lang w:val="en-US" w:eastAsia="ja-JP"/>
        </w:rPr>
        <w:t>[</w:t>
      </w:r>
      <w:r w:rsidR="00580B9A" w:rsidRPr="00580B9A">
        <w:rPr>
          <w:rFonts w:cs="Arial"/>
          <w:i/>
          <w:iCs/>
          <w:szCs w:val="18"/>
          <w:lang w:val="en-US" w:eastAsia="ru-RU"/>
        </w:rPr>
        <w:t>https://www.asahi-spectra.com/opticalinstrument/hal321.asp</w:t>
      </w:r>
      <w:r w:rsidR="00580B9A">
        <w:rPr>
          <w:rFonts w:cs="Arial"/>
          <w:i/>
          <w:iCs/>
          <w:szCs w:val="18"/>
          <w:lang w:val="en-US" w:eastAsia="ru-RU"/>
        </w:rPr>
        <w:t>]</w:t>
      </w:r>
      <w:r w:rsidR="00580B9A">
        <w:rPr>
          <w:rFonts w:cs="Arial"/>
          <w:i/>
          <w:iCs/>
          <w:szCs w:val="18"/>
          <w:lang w:val="uz-Cyrl-UZ" w:eastAsia="ru-RU"/>
        </w:rPr>
        <w:t xml:space="preserve"> </w:t>
      </w:r>
      <w:r w:rsidR="00580B9A">
        <w:rPr>
          <w:rFonts w:eastAsia="MS Mincho" w:cs="Arial" w:hint="eastAsia"/>
          <w:i/>
          <w:iCs/>
          <w:szCs w:val="18"/>
          <w:lang w:val="uz-Cyrl-UZ" w:eastAsia="ja-JP"/>
        </w:rPr>
        <w:t xml:space="preserve">(a) and </w:t>
      </w:r>
      <w:r w:rsidR="00C62F5D">
        <w:rPr>
          <w:rFonts w:eastAsia="MS Mincho" w:cs="Arial"/>
          <w:i/>
          <w:iCs/>
          <w:szCs w:val="18"/>
          <w:lang w:val="uz-Latn-UZ" w:eastAsia="ja-JP"/>
        </w:rPr>
        <w:t xml:space="preserve">the </w:t>
      </w:r>
      <w:r w:rsidR="00580B9A">
        <w:rPr>
          <w:rFonts w:eastAsia="MS Mincho" w:cs="Arial" w:hint="eastAsia"/>
          <w:i/>
          <w:iCs/>
          <w:szCs w:val="18"/>
          <w:lang w:val="uz-Cyrl-UZ" w:eastAsia="ja-JP"/>
        </w:rPr>
        <w:t>c</w:t>
      </w:r>
      <w:r w:rsidRPr="00721A93">
        <w:rPr>
          <w:rFonts w:cs="Arial"/>
          <w:i/>
          <w:iCs/>
          <w:szCs w:val="18"/>
          <w:lang w:val="en-US" w:eastAsia="ru-RU"/>
        </w:rPr>
        <w:t xml:space="preserve">orrelation between the mass ratio </w:t>
      </w:r>
      <w:r w:rsidR="00C62F5D">
        <w:rPr>
          <w:rFonts w:cs="Arial"/>
          <w:i/>
          <w:iCs/>
          <w:szCs w:val="18"/>
          <w:lang w:val="en-US" w:eastAsia="ru-RU"/>
        </w:rPr>
        <w:t xml:space="preserve">of </w:t>
      </w:r>
      <w:r w:rsidRPr="00721A93">
        <w:rPr>
          <w:rFonts w:cs="Arial"/>
          <w:i/>
          <w:iCs/>
          <w:szCs w:val="18"/>
          <w:lang w:val="en-US" w:eastAsia="ru-RU"/>
        </w:rPr>
        <w:t>T (TiO</w:t>
      </w:r>
      <w:r w:rsidRPr="00721A93">
        <w:rPr>
          <w:rFonts w:cs="Arial"/>
          <w:i/>
          <w:iCs/>
          <w:szCs w:val="18"/>
          <w:vertAlign w:val="subscript"/>
          <w:lang w:val="en-US" w:eastAsia="ru-RU"/>
        </w:rPr>
        <w:t>2</w:t>
      </w:r>
      <w:r w:rsidRPr="00721A93">
        <w:rPr>
          <w:rFonts w:cs="Arial"/>
          <w:i/>
          <w:iCs/>
          <w:szCs w:val="18"/>
          <w:lang w:val="en-US" w:eastAsia="ru-RU"/>
        </w:rPr>
        <w:t>) and FM (Fe</w:t>
      </w:r>
      <w:r w:rsidRPr="00721A93">
        <w:rPr>
          <w:rFonts w:cs="Arial"/>
          <w:i/>
          <w:iCs/>
          <w:szCs w:val="18"/>
          <w:vertAlign w:val="subscript"/>
          <w:lang w:val="en-US" w:eastAsia="ru-RU"/>
        </w:rPr>
        <w:t>2</w:t>
      </w:r>
      <w:r w:rsidRPr="00721A93">
        <w:rPr>
          <w:rFonts w:cs="Arial"/>
          <w:i/>
          <w:iCs/>
          <w:szCs w:val="18"/>
          <w:lang w:val="en-US" w:eastAsia="ru-RU"/>
        </w:rPr>
        <w:t>(MoO</w:t>
      </w:r>
      <w:r w:rsidRPr="00721A93">
        <w:rPr>
          <w:rFonts w:cs="Arial"/>
          <w:i/>
          <w:iCs/>
          <w:szCs w:val="18"/>
          <w:vertAlign w:val="subscript"/>
          <w:lang w:val="en-US" w:eastAsia="ru-RU"/>
        </w:rPr>
        <w:t>4</w:t>
      </w:r>
      <w:r w:rsidRPr="00721A93">
        <w:rPr>
          <w:rFonts w:cs="Arial"/>
          <w:i/>
          <w:iCs/>
          <w:szCs w:val="18"/>
          <w:lang w:val="en-US" w:eastAsia="ru-RU"/>
        </w:rPr>
        <w:t>)</w:t>
      </w:r>
      <w:r w:rsidRPr="00721A93">
        <w:rPr>
          <w:rFonts w:cs="Arial"/>
          <w:i/>
          <w:iCs/>
          <w:szCs w:val="18"/>
          <w:vertAlign w:val="subscript"/>
          <w:lang w:val="en-US" w:eastAsia="ru-RU"/>
        </w:rPr>
        <w:t>3</w:t>
      </w:r>
      <w:r w:rsidR="00C62F5D" w:rsidRPr="00C62F5D">
        <w:rPr>
          <w:rFonts w:cs="Arial"/>
          <w:i/>
          <w:iCs/>
          <w:szCs w:val="18"/>
          <w:lang w:val="en-US" w:eastAsia="ru-RU"/>
        </w:rPr>
        <w:t>)</w:t>
      </w:r>
      <w:r w:rsidR="00C62F5D">
        <w:rPr>
          <w:rFonts w:cs="Arial"/>
          <w:i/>
          <w:iCs/>
          <w:szCs w:val="18"/>
          <w:lang w:val="en-US" w:eastAsia="ru-RU"/>
        </w:rPr>
        <w:t xml:space="preserve"> </w:t>
      </w:r>
      <w:r w:rsidRPr="00721A93">
        <w:rPr>
          <w:rFonts w:cs="Arial"/>
          <w:i/>
          <w:iCs/>
          <w:szCs w:val="18"/>
          <w:lang w:val="en-US" w:eastAsia="ru-RU"/>
        </w:rPr>
        <w:t>and the apparent photocatalytic rate constant (k</w:t>
      </w:r>
      <w:r w:rsidRPr="00721A93">
        <w:rPr>
          <w:rFonts w:cs="Arial"/>
          <w:i/>
          <w:iCs/>
          <w:szCs w:val="18"/>
          <w:vertAlign w:val="subscript"/>
          <w:lang w:val="en-US" w:eastAsia="ru-RU"/>
        </w:rPr>
        <w:t>app</w:t>
      </w:r>
      <w:r w:rsidRPr="00721A93">
        <w:rPr>
          <w:rFonts w:cs="Arial"/>
          <w:i/>
          <w:iCs/>
          <w:szCs w:val="18"/>
          <w:lang w:val="en-US" w:eastAsia="ru-RU"/>
        </w:rPr>
        <w:t>) of the synthesized composites</w:t>
      </w:r>
      <w:r w:rsidR="00580B9A">
        <w:rPr>
          <w:rFonts w:eastAsia="MS Mincho" w:cs="Arial" w:hint="eastAsia"/>
          <w:i/>
          <w:iCs/>
          <w:szCs w:val="18"/>
          <w:lang w:val="en-US" w:eastAsia="ja-JP"/>
        </w:rPr>
        <w:t xml:space="preserve"> (b)</w:t>
      </w:r>
      <w:r w:rsidRPr="00721A93">
        <w:rPr>
          <w:rFonts w:cs="Arial"/>
          <w:i/>
          <w:iCs/>
          <w:szCs w:val="18"/>
          <w:lang w:val="en-US" w:eastAsia="ru-RU"/>
        </w:rPr>
        <w:t>.</w:t>
      </w:r>
    </w:p>
    <w:p w14:paraId="6B0D01BC" w14:textId="77777777" w:rsidR="001F21C0" w:rsidRPr="00365530" w:rsidRDefault="001F21C0" w:rsidP="002204B8">
      <w:pPr>
        <w:tabs>
          <w:tab w:val="clear" w:pos="7100"/>
          <w:tab w:val="left" w:pos="0"/>
        </w:tabs>
        <w:rPr>
          <w:rFonts w:cs="Arial"/>
          <w:szCs w:val="18"/>
          <w:lang w:val="uz-Latn-UZ" w:eastAsia="ru-RU"/>
        </w:rPr>
      </w:pPr>
    </w:p>
    <w:p w14:paraId="494F95F8" w14:textId="7CE685EE" w:rsidR="001F21C0" w:rsidRPr="00721A93" w:rsidRDefault="009361BB" w:rsidP="001F21C0">
      <w:pPr>
        <w:tabs>
          <w:tab w:val="clear" w:pos="7100"/>
          <w:tab w:val="left" w:pos="0"/>
        </w:tabs>
        <w:rPr>
          <w:rFonts w:cs="Arial"/>
          <w:szCs w:val="18"/>
          <w:lang w:val="en-US" w:eastAsia="ru-RU"/>
        </w:rPr>
      </w:pPr>
      <w:r>
        <w:rPr>
          <w:rFonts w:eastAsia="MS Mincho" w:cs="Arial"/>
          <w:szCs w:val="18"/>
          <w:lang w:val="en-US" w:eastAsia="ja-JP"/>
        </w:rPr>
        <w:t xml:space="preserve">Thus, the </w:t>
      </w:r>
      <w:r w:rsidR="00C62F5D">
        <w:rPr>
          <w:rFonts w:eastAsia="MS Mincho" w:cs="Arial"/>
          <w:szCs w:val="18"/>
          <w:lang w:val="en-US" w:eastAsia="ja-JP"/>
        </w:rPr>
        <w:t>maximum apparent rate constant (kapp) observed for Sample 5 correlates</w:t>
      </w:r>
      <w:r>
        <w:rPr>
          <w:rFonts w:eastAsia="MS Mincho" w:cs="Arial"/>
          <w:szCs w:val="18"/>
          <w:lang w:val="en-US" w:eastAsia="ja-JP"/>
        </w:rPr>
        <w:t xml:space="preserve"> with </w:t>
      </w:r>
      <w:r w:rsidR="00C62F5D">
        <w:rPr>
          <w:rFonts w:eastAsia="MS Mincho" w:cs="Arial"/>
          <w:szCs w:val="18"/>
          <w:lang w:val="en-US" w:eastAsia="ja-JP"/>
        </w:rPr>
        <w:t>superior performance, attributed to the idealized morphology and a robust interphase heterojunction.</w:t>
      </w:r>
    </w:p>
    <w:p w14:paraId="117776FC" w14:textId="048E23F4" w:rsidR="00637215" w:rsidRPr="00310CA8" w:rsidRDefault="00BE6E9D" w:rsidP="00310CA8">
      <w:pPr>
        <w:pStyle w:val="CETHeading1"/>
        <w:tabs>
          <w:tab w:val="num" w:pos="360"/>
        </w:tabs>
      </w:pPr>
      <w:r w:rsidRPr="00310CA8">
        <w:t>Conclusion</w:t>
      </w:r>
    </w:p>
    <w:p w14:paraId="732F44AB" w14:textId="3C8E1FF2" w:rsidR="006E3A5E" w:rsidRPr="009361BB" w:rsidRDefault="00C62F5D" w:rsidP="007F6782">
      <w:pPr>
        <w:tabs>
          <w:tab w:val="clear" w:pos="7100"/>
          <w:tab w:val="left" w:pos="0"/>
        </w:tabs>
        <w:rPr>
          <w:rFonts w:cs="Arial"/>
          <w:szCs w:val="18"/>
          <w:lang w:val="uz-Latn-UZ" w:eastAsia="ru-RU"/>
        </w:rPr>
      </w:pPr>
      <w:r>
        <w:rPr>
          <w:rFonts w:cs="Arial"/>
          <w:szCs w:val="18"/>
          <w:lang w:val="en-US" w:eastAsia="ru-RU"/>
        </w:rPr>
        <w:t>In this study, high-performance TiO</w:t>
      </w:r>
      <w:r w:rsidRPr="006F257E">
        <w:rPr>
          <w:rFonts w:cs="Arial"/>
          <w:szCs w:val="18"/>
          <w:vertAlign w:val="subscript"/>
          <w:lang w:val="en-US" w:eastAsia="ru-RU"/>
        </w:rPr>
        <w:t>2</w:t>
      </w:r>
      <w:r>
        <w:rPr>
          <w:rFonts w:cs="Arial"/>
          <w:szCs w:val="18"/>
          <w:lang w:val="en-US" w:eastAsia="ru-RU"/>
        </w:rPr>
        <w:t>/Fe</w:t>
      </w:r>
      <w:r w:rsidRPr="006F257E">
        <w:rPr>
          <w:rFonts w:cs="Arial"/>
          <w:szCs w:val="18"/>
          <w:vertAlign w:val="subscript"/>
          <w:lang w:val="en-US" w:eastAsia="ru-RU"/>
        </w:rPr>
        <w:t>2</w:t>
      </w:r>
      <w:r>
        <w:rPr>
          <w:rFonts w:cs="Arial"/>
          <w:szCs w:val="18"/>
          <w:lang w:val="en-US" w:eastAsia="ru-RU"/>
        </w:rPr>
        <w:t>(MoO</w:t>
      </w:r>
      <w:r w:rsidRPr="006F257E">
        <w:rPr>
          <w:rFonts w:cs="Arial"/>
          <w:szCs w:val="18"/>
          <w:vertAlign w:val="subscript"/>
          <w:lang w:val="en-US" w:eastAsia="ru-RU"/>
        </w:rPr>
        <w:t>4</w:t>
      </w:r>
      <w:r>
        <w:rPr>
          <w:rFonts w:cs="Arial"/>
          <w:szCs w:val="18"/>
          <w:lang w:val="en-US" w:eastAsia="ru-RU"/>
        </w:rPr>
        <w:t>)</w:t>
      </w:r>
      <w:r w:rsidRPr="006F257E">
        <w:rPr>
          <w:rFonts w:cs="Arial"/>
          <w:szCs w:val="18"/>
          <w:vertAlign w:val="subscript"/>
          <w:lang w:val="en-US" w:eastAsia="ru-RU"/>
        </w:rPr>
        <w:t>3</w:t>
      </w:r>
      <w:r>
        <w:rPr>
          <w:rFonts w:cs="Arial"/>
          <w:szCs w:val="18"/>
          <w:lang w:val="en-US" w:eastAsia="ru-RU"/>
        </w:rPr>
        <w:t xml:space="preserve"> heterostructured photocatalysts were synthesized from industrial wastes. The results demonstrate that the stoichiometric ratio of the components is a decisive factor in determining the morphology and photocatalytic activity of the resulting materials. Comprehensive SEM and EDS mapping analyses confirmed that the T1.9/FM0.1 ratio yields superior particle dispersion and promotes the formation of a robust interphase heterojunction. According to the photocatalytic evaluations, the composite (Ti 61.2, Mo 3.8, Fe 0.7 mass. %) exhibited the highest apparent rate constant (k=0.0928 min-1) for the degradation of </w:t>
      </w:r>
      <w:r w:rsidR="00BE1578">
        <w:rPr>
          <w:rFonts w:cs="Arial"/>
          <w:szCs w:val="18"/>
          <w:lang w:val="en-US" w:eastAsia="ru-RU"/>
        </w:rPr>
        <w:t>n</w:t>
      </w:r>
      <w:r>
        <w:rPr>
          <w:rFonts w:cs="Arial"/>
          <w:szCs w:val="18"/>
          <w:lang w:val="en-US" w:eastAsia="ru-RU"/>
        </w:rPr>
        <w:t>itrofurazone and methylene blue, outperforming pristine TiO</w:t>
      </w:r>
      <w:r w:rsidRPr="006F257E">
        <w:rPr>
          <w:rFonts w:cs="Arial"/>
          <w:szCs w:val="18"/>
          <w:vertAlign w:val="subscript"/>
          <w:lang w:val="en-US" w:eastAsia="ru-RU"/>
        </w:rPr>
        <w:t>2</w:t>
      </w:r>
      <w:r>
        <w:rPr>
          <w:rFonts w:cs="Arial"/>
          <w:szCs w:val="18"/>
          <w:lang w:val="en-US" w:eastAsia="ru-RU"/>
        </w:rPr>
        <w:t xml:space="preserve"> and other composite variations. Consequently, </w:t>
      </w:r>
      <w:r>
        <w:rPr>
          <w:rFonts w:cs="Arial"/>
          <w:szCs w:val="18"/>
          <w:lang w:val="en-US" w:eastAsia="ru-RU"/>
        </w:rPr>
        <w:lastRenderedPageBreak/>
        <w:t>the prepared composite demonstrates exceptional efficiency in degrading hazardous antibacterial pollutants, offering a cost-effective pathway for environmental protection through waste valorization and a sustainable, scalable strategy for modern wastewater treatment.</w:t>
      </w:r>
    </w:p>
    <w:p w14:paraId="3F71C8E7" w14:textId="5AFF1470" w:rsidR="00637215" w:rsidRPr="00310CA8" w:rsidRDefault="00C039D3" w:rsidP="00310CA8">
      <w:pPr>
        <w:pStyle w:val="CETHeading1"/>
        <w:tabs>
          <w:tab w:val="num" w:pos="360"/>
        </w:tabs>
      </w:pPr>
      <w:r w:rsidRPr="00310CA8">
        <w:t>Acknowledgments</w:t>
      </w:r>
    </w:p>
    <w:p w14:paraId="5EF895B4" w14:textId="52DD7FAC" w:rsidR="005741DE" w:rsidRPr="00D86218" w:rsidRDefault="00C039D3" w:rsidP="00D86218">
      <w:pPr>
        <w:pStyle w:val="CETBodytext"/>
        <w:rPr>
          <w:lang w:val="en-GB"/>
        </w:rPr>
      </w:pPr>
      <w:r w:rsidRPr="00D86218">
        <w:rPr>
          <w:lang w:val="en-GB"/>
        </w:rPr>
        <w:t>The authors would like to express their sincere gratitude to the Uzbekistan-Japan Innovation Center of Youth (UJICY) for providing the laboratory facilities and technical assistance during the SEM and EDS characterizations. The authors also acknowledge the Tashkent Institute of Chemical Technology (TICT) for their institutional and administrative support throughout this doctoral research.</w:t>
      </w:r>
    </w:p>
    <w:p w14:paraId="4F1327F8" w14:textId="00B8A5C9" w:rsidR="00600535" w:rsidRPr="00310CA8" w:rsidRDefault="00600535" w:rsidP="00310CA8">
      <w:pPr>
        <w:pStyle w:val="CETHeading1"/>
        <w:tabs>
          <w:tab w:val="num" w:pos="360"/>
        </w:tabs>
      </w:pPr>
      <w:r w:rsidRPr="00310CA8">
        <w:t>References</w:t>
      </w:r>
    </w:p>
    <w:p w14:paraId="66558BC4" w14:textId="190076A4" w:rsidR="00976ADC" w:rsidRPr="00FF1C9A" w:rsidRDefault="00976ADC" w:rsidP="00D86218">
      <w:pPr>
        <w:pStyle w:val="CETReferencetext"/>
      </w:pPr>
      <w:r w:rsidRPr="00FF1C9A">
        <w:t>Cabezuelo O., Ponce-Gonzalez</w:t>
      </w:r>
      <w:r w:rsidR="002B4759" w:rsidRPr="00FF1C9A">
        <w:t xml:space="preserve"> L.N.</w:t>
      </w:r>
      <w:r w:rsidRPr="00FF1C9A">
        <w:t>, Marin</w:t>
      </w:r>
      <w:r w:rsidR="002B4759" w:rsidRPr="00FF1C9A">
        <w:t xml:space="preserve"> M.L.</w:t>
      </w:r>
      <w:r w:rsidRPr="00FF1C9A">
        <w:t>, Bosca</w:t>
      </w:r>
      <w:r w:rsidR="002B4759" w:rsidRPr="00FF1C9A">
        <w:t xml:space="preserve"> F</w:t>
      </w:r>
      <w:r w:rsidRPr="00FF1C9A">
        <w:t>.</w:t>
      </w:r>
      <w:r w:rsidR="00D00C32" w:rsidRPr="00FF1C9A">
        <w:t>,</w:t>
      </w:r>
      <w:r w:rsidRPr="00FF1C9A">
        <w:t xml:space="preserve"> 2023</w:t>
      </w:r>
      <w:r w:rsidR="003A2D58" w:rsidRPr="00FF1C9A">
        <w:t>,</w:t>
      </w:r>
      <w:r w:rsidRPr="00FF1C9A">
        <w:t xml:space="preserve"> A highly efficient supported TiO</w:t>
      </w:r>
      <w:r w:rsidRPr="006F257E">
        <w:rPr>
          <w:vertAlign w:val="subscript"/>
        </w:rPr>
        <w:t>2</w:t>
      </w:r>
      <w:r w:rsidRPr="00FF1C9A">
        <w:t xml:space="preserve"> photocatalyst for wastewater remediation in continuous flow</w:t>
      </w:r>
      <w:r w:rsidR="00D00C32" w:rsidRPr="00FF1C9A">
        <w:t>,</w:t>
      </w:r>
      <w:r w:rsidRPr="00FF1C9A">
        <w:t xml:space="preserve"> Applied Materials Today,</w:t>
      </w:r>
      <w:r w:rsidR="00D00C32" w:rsidRPr="00FF1C9A">
        <w:t xml:space="preserve"> </w:t>
      </w:r>
      <w:r w:rsidRPr="00FF1C9A">
        <w:t xml:space="preserve">35, 101947, </w:t>
      </w:r>
      <w:r w:rsidR="00D00C32" w:rsidRPr="00FF1C9A">
        <w:t>1</w:t>
      </w:r>
      <w:r w:rsidR="00540B55" w:rsidRPr="00FF1C9A">
        <w:t>-</w:t>
      </w:r>
      <w:r w:rsidR="00D00C32" w:rsidRPr="00FF1C9A">
        <w:t>12.</w:t>
      </w:r>
      <w:r w:rsidRPr="00FF1C9A">
        <w:t xml:space="preserve"> </w:t>
      </w:r>
    </w:p>
    <w:p w14:paraId="0C6797E0" w14:textId="7C9EFBB0" w:rsidR="00161929" w:rsidRPr="00FF1C9A" w:rsidRDefault="00161929" w:rsidP="00D86218">
      <w:pPr>
        <w:pStyle w:val="CETReferencetext"/>
      </w:pPr>
      <w:r w:rsidRPr="00FF1C9A">
        <w:t>Dvoranov</w:t>
      </w:r>
      <w:r w:rsidR="002671C8" w:rsidRPr="00FF1C9A">
        <w:t>a</w:t>
      </w:r>
      <w:r w:rsidRPr="00FF1C9A">
        <w:t>, D., Barbierikov</w:t>
      </w:r>
      <w:r w:rsidR="002671C8" w:rsidRPr="00FF1C9A">
        <w:t>a</w:t>
      </w:r>
      <w:r w:rsidRPr="00FF1C9A">
        <w:t>, Z., Brezov</w:t>
      </w:r>
      <w:r w:rsidR="002671C8" w:rsidRPr="00FF1C9A">
        <w:t>a</w:t>
      </w:r>
      <w:r w:rsidRPr="00FF1C9A">
        <w:t>, V.</w:t>
      </w:r>
      <w:r w:rsidR="00D00C32" w:rsidRPr="00FF1C9A">
        <w:t>,</w:t>
      </w:r>
      <w:r w:rsidRPr="00FF1C9A">
        <w:t xml:space="preserve"> 2014</w:t>
      </w:r>
      <w:r w:rsidR="003A2D58" w:rsidRPr="00FF1C9A">
        <w:t xml:space="preserve">, </w:t>
      </w:r>
      <w:r w:rsidRPr="00FF1C9A">
        <w:t>Radical Intermediates in Photoinduced Reactions on TiO</w:t>
      </w:r>
      <w:r w:rsidRPr="006F257E">
        <w:rPr>
          <w:vertAlign w:val="subscript"/>
        </w:rPr>
        <w:t>2</w:t>
      </w:r>
      <w:r w:rsidRPr="00FF1C9A">
        <w:t> (An EPR Spin Trapping Study)</w:t>
      </w:r>
      <w:r w:rsidR="00D00C32" w:rsidRPr="00FF1C9A">
        <w:t>,</w:t>
      </w:r>
      <w:r w:rsidRPr="00FF1C9A">
        <w:t> </w:t>
      </w:r>
      <w:r w:rsidRPr="00D86218">
        <w:t>Molecules</w:t>
      </w:r>
      <w:r w:rsidRPr="00FF1C9A">
        <w:t>, </w:t>
      </w:r>
      <w:r w:rsidRPr="00D86218">
        <w:t>19</w:t>
      </w:r>
      <w:r w:rsidRPr="00FF1C9A">
        <w:t xml:space="preserve">, 17279-17304. </w:t>
      </w:r>
    </w:p>
    <w:p w14:paraId="7BD4F3A2" w14:textId="3D020434" w:rsidR="009B29AA" w:rsidRPr="00FF1C9A" w:rsidRDefault="009B29AA" w:rsidP="00D86218">
      <w:pPr>
        <w:pStyle w:val="CETReferencetext"/>
      </w:pPr>
      <w:r w:rsidRPr="00FF1C9A">
        <w:t>Laoufi, N.</w:t>
      </w:r>
      <w:r w:rsidR="00E75E90" w:rsidRPr="00FF1C9A">
        <w:t>, Hout S., Tassallit</w:t>
      </w:r>
      <w:r w:rsidR="00D00D3C" w:rsidRPr="00FF1C9A">
        <w:t xml:space="preserve"> D</w:t>
      </w:r>
      <w:r w:rsidR="00E75E90" w:rsidRPr="00FF1C9A">
        <w:t xml:space="preserve">., </w:t>
      </w:r>
      <w:r w:rsidR="00D00D3C" w:rsidRPr="00FF1C9A">
        <w:t xml:space="preserve">Ounnar </w:t>
      </w:r>
      <w:r w:rsidR="00E75E90" w:rsidRPr="00FF1C9A">
        <w:t>A.</w:t>
      </w:r>
      <w:r w:rsidR="00D00D3C" w:rsidRPr="00FF1C9A">
        <w:t>, Djouadi</w:t>
      </w:r>
      <w:r w:rsidR="002E60C3" w:rsidRPr="00FF1C9A">
        <w:t xml:space="preserve"> A.</w:t>
      </w:r>
      <w:r w:rsidR="00D00D3C" w:rsidRPr="00FF1C9A">
        <w:t>,</w:t>
      </w:r>
      <w:r w:rsidR="002E60C3" w:rsidRPr="00FF1C9A">
        <w:t xml:space="preserve"> Chekir N., Bentahar F.</w:t>
      </w:r>
      <w:r w:rsidR="000767C2" w:rsidRPr="00FF1C9A">
        <w:t>,</w:t>
      </w:r>
      <w:r w:rsidRPr="00FF1C9A">
        <w:t xml:space="preserve"> 2013. Removal of a persistent pharmaceutical micropollutant by UV/TiO</w:t>
      </w:r>
      <w:r w:rsidRPr="006F257E">
        <w:rPr>
          <w:vertAlign w:val="subscript"/>
        </w:rPr>
        <w:t>2</w:t>
      </w:r>
      <w:r w:rsidRPr="00FF1C9A">
        <w:t xml:space="preserve"> process using an immobilized titanium dioxide catalyst: parametric study. Chemical Engineering Transactions.</w:t>
      </w:r>
    </w:p>
    <w:p w14:paraId="103A541F" w14:textId="16268C8C" w:rsidR="006E33AF" w:rsidRPr="00FF1C9A" w:rsidRDefault="00CB77EE" w:rsidP="00D86218">
      <w:pPr>
        <w:pStyle w:val="CETReferencetext"/>
      </w:pPr>
      <w:r w:rsidRPr="00FF1C9A">
        <w:t>Lettieri S., Pavone M., Fioravanti A., Santamaria Amato L., Maddalena P.</w:t>
      </w:r>
      <w:r w:rsidR="00560E6C" w:rsidRPr="00FF1C9A">
        <w:t>,</w:t>
      </w:r>
      <w:r w:rsidRPr="00FF1C9A">
        <w:t xml:space="preserve"> 2021</w:t>
      </w:r>
      <w:r w:rsidR="00087DD0" w:rsidRPr="00FF1C9A">
        <w:t xml:space="preserve">, </w:t>
      </w:r>
      <w:r w:rsidRPr="00FF1C9A">
        <w:t>Charge Carrier Processes and Optical Properties in TiO</w:t>
      </w:r>
      <w:r w:rsidRPr="006F257E">
        <w:rPr>
          <w:vertAlign w:val="subscript"/>
        </w:rPr>
        <w:t>2</w:t>
      </w:r>
      <w:r w:rsidRPr="00FF1C9A">
        <w:t> and TiO</w:t>
      </w:r>
      <w:r w:rsidRPr="006F257E">
        <w:rPr>
          <w:vertAlign w:val="subscript"/>
        </w:rPr>
        <w:t>2</w:t>
      </w:r>
      <w:r w:rsidRPr="00FF1C9A">
        <w:t>-Based Heterojunction Photocatalysts: A Review</w:t>
      </w:r>
      <w:r w:rsidR="00560E6C" w:rsidRPr="00FF1C9A">
        <w:t>,</w:t>
      </w:r>
      <w:r w:rsidRPr="00FF1C9A">
        <w:t> </w:t>
      </w:r>
      <w:r w:rsidRPr="00D86218">
        <w:t>Materials</w:t>
      </w:r>
      <w:r w:rsidRPr="00FF1C9A">
        <w:t>, </w:t>
      </w:r>
      <w:r w:rsidRPr="00D86218">
        <w:t>14</w:t>
      </w:r>
      <w:r w:rsidRPr="00FF1C9A">
        <w:t>, 1645</w:t>
      </w:r>
      <w:r w:rsidR="00560E6C" w:rsidRPr="00FF1C9A">
        <w:t>, 1-57.</w:t>
      </w:r>
      <w:r w:rsidRPr="00FF1C9A">
        <w:t xml:space="preserve"> </w:t>
      </w:r>
    </w:p>
    <w:p w14:paraId="61E4D2CE" w14:textId="4F1B5428" w:rsidR="009D3D15" w:rsidRPr="00FF1C9A" w:rsidRDefault="009D3D15" w:rsidP="00D86218">
      <w:pPr>
        <w:pStyle w:val="CETReferencetext"/>
      </w:pPr>
      <w:r w:rsidRPr="00FF1C9A">
        <w:t>Li K., Teng C., Wang S., Min Q.</w:t>
      </w:r>
      <w:r w:rsidR="00560E6C" w:rsidRPr="00FF1C9A">
        <w:t>,</w:t>
      </w:r>
      <w:r w:rsidRPr="00FF1C9A">
        <w:t xml:space="preserve"> 2021</w:t>
      </w:r>
      <w:r w:rsidR="00087DD0" w:rsidRPr="00FF1C9A">
        <w:t>,</w:t>
      </w:r>
      <w:r w:rsidRPr="00FF1C9A">
        <w:t xml:space="preserve"> Recent Advances in TiO</w:t>
      </w:r>
      <w:r w:rsidRPr="00B27D8B">
        <w:rPr>
          <w:vertAlign w:val="subscript"/>
        </w:rPr>
        <w:t>2</w:t>
      </w:r>
      <w:r w:rsidRPr="00FF1C9A">
        <w:t>-Based Heterojunctions for Photocatalytic CO2 Reduction</w:t>
      </w:r>
      <w:r w:rsidR="002671C8" w:rsidRPr="00FF1C9A">
        <w:t xml:space="preserve"> </w:t>
      </w:r>
      <w:r w:rsidRPr="00FF1C9A">
        <w:t>With</w:t>
      </w:r>
      <w:r w:rsidR="002671C8" w:rsidRPr="00FF1C9A">
        <w:t xml:space="preserve"> </w:t>
      </w:r>
      <w:r w:rsidRPr="00FF1C9A">
        <w:t>Water Oxidation: A Review</w:t>
      </w:r>
      <w:r w:rsidR="00560E6C" w:rsidRPr="00FF1C9A">
        <w:t>,</w:t>
      </w:r>
      <w:r w:rsidRPr="00FF1C9A">
        <w:t> Frontiers in chemistry, 9, 637501</w:t>
      </w:r>
      <w:r w:rsidR="00560E6C" w:rsidRPr="00FF1C9A">
        <w:t>, 1-25</w:t>
      </w:r>
      <w:r w:rsidRPr="00FF1C9A">
        <w:t xml:space="preserve">. </w:t>
      </w:r>
    </w:p>
    <w:p w14:paraId="3ACF1C9C" w14:textId="3511E8C1" w:rsidR="00F80225" w:rsidRPr="00FF1C9A" w:rsidRDefault="00F80225" w:rsidP="00D86218">
      <w:pPr>
        <w:pStyle w:val="CETReferencetext"/>
      </w:pPr>
      <w:r w:rsidRPr="00FF1C9A">
        <w:t>Mammadov G., Ramazanov M., Kanaev A., Hasanova U., Huseynov K.</w:t>
      </w:r>
      <w:r w:rsidR="00650F51" w:rsidRPr="00FF1C9A">
        <w:t xml:space="preserve">, </w:t>
      </w:r>
      <w:r w:rsidRPr="00FF1C9A">
        <w:t>2017. Photocatalytic degradation of organic pollutants in air by application of titanium dioxide nanoparticles. Chemical Engineering Transactions, 60, 241-246.</w:t>
      </w:r>
      <w:r w:rsidR="004B08C7" w:rsidRPr="00FF1C9A">
        <w:t xml:space="preserve"> </w:t>
      </w:r>
    </w:p>
    <w:p w14:paraId="7E82002A" w14:textId="62ECF8AB" w:rsidR="00721A93" w:rsidRPr="00FF1C9A" w:rsidRDefault="00721A93" w:rsidP="00D86218">
      <w:pPr>
        <w:pStyle w:val="CETReferencetext"/>
      </w:pPr>
      <w:r w:rsidRPr="00FF1C9A">
        <w:t>Montoya-Bautista C. V., Avella E., Ram</w:t>
      </w:r>
      <w:r w:rsidR="003808B1" w:rsidRPr="00FF1C9A">
        <w:t>i</w:t>
      </w:r>
      <w:r w:rsidRPr="00FF1C9A">
        <w:t>rez-Zamora R.</w:t>
      </w:r>
      <w:r w:rsidR="00E13569" w:rsidRPr="00FF1C9A">
        <w:t xml:space="preserve"> </w:t>
      </w:r>
      <w:r w:rsidRPr="00FF1C9A">
        <w:t>M., Schouwenaars R.</w:t>
      </w:r>
      <w:r w:rsidR="00560E6C" w:rsidRPr="00FF1C9A">
        <w:t xml:space="preserve">, </w:t>
      </w:r>
      <w:r w:rsidRPr="00FF1C9A">
        <w:t>2019</w:t>
      </w:r>
      <w:r w:rsidR="00560E6C" w:rsidRPr="00FF1C9A">
        <w:t>,</w:t>
      </w:r>
      <w:r w:rsidRPr="00FF1C9A">
        <w:t xml:space="preserve"> Metallurgical Wastes Employed as Catalysts and Photocatalysts for Water Treatment: A Review</w:t>
      </w:r>
      <w:r w:rsidR="00560E6C" w:rsidRPr="00FF1C9A">
        <w:t>,</w:t>
      </w:r>
      <w:r w:rsidRPr="00FF1C9A">
        <w:t> </w:t>
      </w:r>
      <w:r w:rsidRPr="00D86218">
        <w:t>Sustainability</w:t>
      </w:r>
      <w:r w:rsidRPr="00FF1C9A">
        <w:t>, </w:t>
      </w:r>
      <w:r w:rsidRPr="00D86218">
        <w:t>11</w:t>
      </w:r>
      <w:r w:rsidRPr="00FF1C9A">
        <w:t>, 2470</w:t>
      </w:r>
      <w:r w:rsidR="00560E6C" w:rsidRPr="00FF1C9A">
        <w:t>, 1-16</w:t>
      </w:r>
      <w:r w:rsidRPr="00FF1C9A">
        <w:t xml:space="preserve">. </w:t>
      </w:r>
    </w:p>
    <w:p w14:paraId="0B7EE8FC" w14:textId="50F83768" w:rsidR="00590CC1" w:rsidRPr="00FF1C9A" w:rsidRDefault="00590CC1" w:rsidP="00D86218">
      <w:pPr>
        <w:pStyle w:val="CETReferencetext"/>
      </w:pPr>
      <w:r w:rsidRPr="00FF1C9A">
        <w:t>Sugra</w:t>
      </w:r>
      <w:r w:rsidR="00E0218A" w:rsidRPr="00FF1C9A">
        <w:t>n</w:t>
      </w:r>
      <w:r w:rsidRPr="00FF1C9A">
        <w:t>ez R., Cruz-Yusta M., M</w:t>
      </w:r>
      <w:r w:rsidR="00F80225" w:rsidRPr="00FF1C9A">
        <w:t>a</w:t>
      </w:r>
      <w:r w:rsidRPr="00FF1C9A">
        <w:t>rmol I., Morales J., S</w:t>
      </w:r>
      <w:r w:rsidR="00F80225" w:rsidRPr="00FF1C9A">
        <w:t>a</w:t>
      </w:r>
      <w:r w:rsidRPr="00FF1C9A">
        <w:t>nchez</w:t>
      </w:r>
      <w:r w:rsidR="00560E6C" w:rsidRPr="00FF1C9A">
        <w:t xml:space="preserve"> </w:t>
      </w:r>
      <w:r w:rsidRPr="00FF1C9A">
        <w:t>L.</w:t>
      </w:r>
      <w:r w:rsidR="00560E6C" w:rsidRPr="00FF1C9A">
        <w:t>,</w:t>
      </w:r>
      <w:r w:rsidRPr="00FF1C9A">
        <w:t xml:space="preserve"> 2013</w:t>
      </w:r>
      <w:r w:rsidR="004F679B" w:rsidRPr="00FF1C9A">
        <w:t>,</w:t>
      </w:r>
      <w:r w:rsidRPr="00FF1C9A">
        <w:t xml:space="preserve"> Preparation of sustainable photocatalytic materials through the valorization of industrial wastes</w:t>
      </w:r>
      <w:r w:rsidR="00560E6C" w:rsidRPr="00FF1C9A">
        <w:t>,</w:t>
      </w:r>
      <w:r w:rsidRPr="00FF1C9A">
        <w:t xml:space="preserve"> ChemSusChem, 6, 2340–2347. </w:t>
      </w:r>
    </w:p>
    <w:p w14:paraId="760117AC" w14:textId="6D132E67" w:rsidR="00E11CA1" w:rsidRPr="00FF1C9A" w:rsidRDefault="00487B3B" w:rsidP="00D86218">
      <w:pPr>
        <w:pStyle w:val="CETReferencetext"/>
      </w:pPr>
      <w:r w:rsidRPr="00FF1C9A">
        <w:t>Torelli</w:t>
      </w:r>
      <w:r w:rsidR="00DA7622" w:rsidRPr="00FF1C9A">
        <w:t xml:space="preserve"> </w:t>
      </w:r>
      <w:r w:rsidRPr="00FF1C9A">
        <w:t>S.</w:t>
      </w:r>
      <w:r w:rsidR="00DA7622" w:rsidRPr="00FF1C9A">
        <w:t>,</w:t>
      </w:r>
      <w:r w:rsidRPr="00FF1C9A">
        <w:t xml:space="preserve"> 2015</w:t>
      </w:r>
      <w:r w:rsidR="004F679B" w:rsidRPr="00FF1C9A">
        <w:t>,</w:t>
      </w:r>
      <w:r w:rsidRPr="00FF1C9A">
        <w:t xml:space="preserve"> Morphological control of TiO</w:t>
      </w:r>
      <w:r w:rsidRPr="006F257E">
        <w:rPr>
          <w:vertAlign w:val="subscript"/>
        </w:rPr>
        <w:t>2</w:t>
      </w:r>
      <w:r w:rsidRPr="00FF1C9A">
        <w:t xml:space="preserve"> anatase nanoparticles: What is the good surface property to obtain efficient</w:t>
      </w:r>
      <w:r w:rsidR="003808B1" w:rsidRPr="00FF1C9A">
        <w:t xml:space="preserve"> photocatalysts?</w:t>
      </w:r>
      <w:r w:rsidRPr="00FF1C9A">
        <w:t xml:space="preserve"> Applied Catalysis B: Environmental</w:t>
      </w:r>
      <w:r w:rsidR="00560E6C" w:rsidRPr="00FF1C9A">
        <w:t xml:space="preserve">, 174-175, </w:t>
      </w:r>
      <w:r w:rsidR="008F54CA" w:rsidRPr="00FF1C9A">
        <w:t>350-360.</w:t>
      </w:r>
      <w:r w:rsidRPr="00FF1C9A">
        <w:t xml:space="preserve"> </w:t>
      </w:r>
    </w:p>
    <w:p w14:paraId="008F645E" w14:textId="397BA4E1" w:rsidR="00D23199" w:rsidRPr="00FF1C9A" w:rsidRDefault="00D23199" w:rsidP="00D86218">
      <w:pPr>
        <w:pStyle w:val="CETReferencetext"/>
      </w:pPr>
      <w:r w:rsidRPr="00FF1C9A">
        <w:t>T</w:t>
      </w:r>
      <w:r w:rsidR="00145306" w:rsidRPr="00FF1C9A">
        <w:t xml:space="preserve">ursunova </w:t>
      </w:r>
      <w:r w:rsidRPr="00FF1C9A">
        <w:t>D</w:t>
      </w:r>
      <w:r w:rsidR="007106E3" w:rsidRPr="00FF1C9A">
        <w:t>.</w:t>
      </w:r>
      <w:r w:rsidRPr="00FF1C9A">
        <w:t>R.</w:t>
      </w:r>
      <w:r w:rsidR="007106E3" w:rsidRPr="00FF1C9A">
        <w:t>,</w:t>
      </w:r>
      <w:r w:rsidRPr="00FF1C9A">
        <w:t xml:space="preserve"> K</w:t>
      </w:r>
      <w:r w:rsidR="00145306" w:rsidRPr="00FF1C9A">
        <w:t>adirova</w:t>
      </w:r>
      <w:r w:rsidRPr="00FF1C9A">
        <w:t xml:space="preserve"> Z</w:t>
      </w:r>
      <w:r w:rsidR="007106E3" w:rsidRPr="00FF1C9A">
        <w:t>.</w:t>
      </w:r>
      <w:r w:rsidRPr="00FF1C9A">
        <w:t>C.</w:t>
      </w:r>
      <w:r w:rsidR="007106E3" w:rsidRPr="00FF1C9A">
        <w:t>,</w:t>
      </w:r>
      <w:r w:rsidRPr="00FF1C9A">
        <w:t xml:space="preserve"> D</w:t>
      </w:r>
      <w:r w:rsidR="00145306" w:rsidRPr="00FF1C9A">
        <w:t xml:space="preserve">aminova </w:t>
      </w:r>
      <w:r w:rsidRPr="00FF1C9A">
        <w:t>S</w:t>
      </w:r>
      <w:r w:rsidR="007106E3" w:rsidRPr="00FF1C9A">
        <w:t>.</w:t>
      </w:r>
      <w:r w:rsidRPr="00FF1C9A">
        <w:t>S.</w:t>
      </w:r>
      <w:r w:rsidR="008F54CA" w:rsidRPr="00FF1C9A">
        <w:t xml:space="preserve">, </w:t>
      </w:r>
      <w:r w:rsidRPr="00FF1C9A">
        <w:t>G</w:t>
      </w:r>
      <w:r w:rsidR="00B609E6" w:rsidRPr="00FF1C9A">
        <w:t>abidullina</w:t>
      </w:r>
      <w:r w:rsidRPr="00FF1C9A">
        <w:t xml:space="preserve"> K</w:t>
      </w:r>
      <w:r w:rsidR="007106E3" w:rsidRPr="00FF1C9A">
        <w:t>.</w:t>
      </w:r>
      <w:r w:rsidRPr="00FF1C9A">
        <w:t>K.</w:t>
      </w:r>
      <w:r w:rsidR="008F54CA" w:rsidRPr="00FF1C9A">
        <w:t>,</w:t>
      </w:r>
      <w:r w:rsidRPr="00FF1C9A">
        <w:t xml:space="preserve"> 2025</w:t>
      </w:r>
      <w:r w:rsidR="00DF59A1" w:rsidRPr="00FF1C9A">
        <w:t>a</w:t>
      </w:r>
      <w:r w:rsidR="007106E3" w:rsidRPr="00FF1C9A">
        <w:t>,</w:t>
      </w:r>
      <w:r w:rsidRPr="00FF1C9A">
        <w:t xml:space="preserve"> </w:t>
      </w:r>
      <w:r w:rsidR="001D125D" w:rsidRPr="00FF1C9A">
        <w:t>Photocatalytic activity of the mixed of</w:t>
      </w:r>
      <w:r w:rsidRPr="00FF1C9A">
        <w:t xml:space="preserve"> Ti/Fe/Mo </w:t>
      </w:r>
      <w:r w:rsidR="001D125D" w:rsidRPr="00FF1C9A">
        <w:t>oxide composites for degradation of nitrofurazone, </w:t>
      </w:r>
      <w:r w:rsidR="00BE75E5" w:rsidRPr="00D86218">
        <w:t>C</w:t>
      </w:r>
      <w:r w:rsidR="001D125D" w:rsidRPr="00D86218">
        <w:t xml:space="preserve">hemistry and </w:t>
      </w:r>
      <w:r w:rsidR="00BE75E5" w:rsidRPr="00D86218">
        <w:t>C</w:t>
      </w:r>
      <w:r w:rsidR="001D125D" w:rsidRPr="00D86218">
        <w:t xml:space="preserve">hemical </w:t>
      </w:r>
      <w:r w:rsidR="00BE75E5" w:rsidRPr="00D86218">
        <w:t>E</w:t>
      </w:r>
      <w:r w:rsidR="001D125D" w:rsidRPr="00D86218">
        <w:t>ngineering</w:t>
      </w:r>
      <w:r w:rsidR="008F54CA" w:rsidRPr="00FF1C9A">
        <w:t>,</w:t>
      </w:r>
      <w:r w:rsidRPr="00FF1C9A">
        <w:t xml:space="preserve"> 2025</w:t>
      </w:r>
      <w:r w:rsidR="008F54CA" w:rsidRPr="00FF1C9A">
        <w:t xml:space="preserve">, </w:t>
      </w:r>
      <w:r w:rsidRPr="00FF1C9A">
        <w:t>4,</w:t>
      </w:r>
      <w:r w:rsidR="008F54CA" w:rsidRPr="00FF1C9A">
        <w:t xml:space="preserve"> </w:t>
      </w:r>
      <w:r w:rsidR="004E5981" w:rsidRPr="00FF1C9A">
        <w:t>38-63</w:t>
      </w:r>
      <w:r w:rsidRPr="00FF1C9A">
        <w:t>.</w:t>
      </w:r>
      <w:r w:rsidR="00EE243C" w:rsidRPr="00FF1C9A">
        <w:t xml:space="preserve"> </w:t>
      </w:r>
    </w:p>
    <w:p w14:paraId="7EA43598" w14:textId="5771182A" w:rsidR="00D23199" w:rsidRPr="00FF1C9A" w:rsidRDefault="000912D0" w:rsidP="00A3657F">
      <w:pPr>
        <w:pStyle w:val="CETReference"/>
        <w:tabs>
          <w:tab w:val="left" w:pos="0"/>
        </w:tabs>
        <w:spacing w:before="0" w:after="0"/>
        <w:ind w:left="284" w:hanging="284"/>
        <w:jc w:val="both"/>
        <w:rPr>
          <w:b w:val="0"/>
        </w:rPr>
      </w:pPr>
      <w:r w:rsidRPr="00FF1C9A">
        <w:rPr>
          <w:b w:val="0"/>
        </w:rPr>
        <w:t>T</w:t>
      </w:r>
      <w:r w:rsidR="00E16084" w:rsidRPr="00FF1C9A">
        <w:rPr>
          <w:b w:val="0"/>
        </w:rPr>
        <w:t xml:space="preserve">ursunova </w:t>
      </w:r>
      <w:r w:rsidR="00A97695" w:rsidRPr="00FF1C9A">
        <w:rPr>
          <w:b w:val="0"/>
        </w:rPr>
        <w:t>D.</w:t>
      </w:r>
      <w:r w:rsidRPr="00FF1C9A">
        <w:rPr>
          <w:b w:val="0"/>
        </w:rPr>
        <w:t>R.</w:t>
      </w:r>
      <w:r w:rsidR="00A97695" w:rsidRPr="00FF1C9A">
        <w:rPr>
          <w:b w:val="0"/>
        </w:rPr>
        <w:t>,</w:t>
      </w:r>
      <w:r w:rsidRPr="00FF1C9A">
        <w:rPr>
          <w:b w:val="0"/>
        </w:rPr>
        <w:t xml:space="preserve"> D</w:t>
      </w:r>
      <w:r w:rsidR="00E16084" w:rsidRPr="00FF1C9A">
        <w:rPr>
          <w:b w:val="0"/>
        </w:rPr>
        <w:t xml:space="preserve">aminova </w:t>
      </w:r>
      <w:r w:rsidR="00A97695" w:rsidRPr="00FF1C9A">
        <w:rPr>
          <w:b w:val="0"/>
        </w:rPr>
        <w:t>S.</w:t>
      </w:r>
      <w:r w:rsidRPr="00FF1C9A">
        <w:rPr>
          <w:b w:val="0"/>
        </w:rPr>
        <w:t>S</w:t>
      </w:r>
      <w:r w:rsidR="00A97695" w:rsidRPr="00FF1C9A">
        <w:rPr>
          <w:b w:val="0"/>
        </w:rPr>
        <w:t>.,</w:t>
      </w:r>
      <w:r w:rsidRPr="00FF1C9A">
        <w:rPr>
          <w:b w:val="0"/>
        </w:rPr>
        <w:t xml:space="preserve"> N</w:t>
      </w:r>
      <w:r w:rsidR="00E16084" w:rsidRPr="00FF1C9A">
        <w:rPr>
          <w:b w:val="0"/>
        </w:rPr>
        <w:t>usretov</w:t>
      </w:r>
      <w:r w:rsidR="005879F1" w:rsidRPr="00FF1C9A">
        <w:rPr>
          <w:b w:val="0"/>
        </w:rPr>
        <w:t xml:space="preserve"> </w:t>
      </w:r>
      <w:r w:rsidRPr="00FF1C9A">
        <w:rPr>
          <w:b w:val="0"/>
        </w:rPr>
        <w:t>R</w:t>
      </w:r>
      <w:r w:rsidR="005879F1" w:rsidRPr="00FF1C9A">
        <w:rPr>
          <w:b w:val="0"/>
        </w:rPr>
        <w:t>.</w:t>
      </w:r>
      <w:r w:rsidRPr="00FF1C9A">
        <w:rPr>
          <w:b w:val="0"/>
        </w:rPr>
        <w:t>A.</w:t>
      </w:r>
      <w:r w:rsidR="005879F1" w:rsidRPr="00FF1C9A">
        <w:rPr>
          <w:b w:val="0"/>
        </w:rPr>
        <w:t>,</w:t>
      </w:r>
      <w:r w:rsidRPr="00FF1C9A">
        <w:rPr>
          <w:b w:val="0"/>
        </w:rPr>
        <w:t xml:space="preserve"> S</w:t>
      </w:r>
      <w:r w:rsidR="0073029D" w:rsidRPr="00FF1C9A">
        <w:rPr>
          <w:b w:val="0"/>
        </w:rPr>
        <w:t>h</w:t>
      </w:r>
      <w:r w:rsidR="001D125D" w:rsidRPr="00FF1C9A">
        <w:rPr>
          <w:b w:val="0"/>
        </w:rPr>
        <w:t xml:space="preserve">iknazarov </w:t>
      </w:r>
      <w:r w:rsidRPr="00FF1C9A">
        <w:rPr>
          <w:b w:val="0"/>
        </w:rPr>
        <w:t>A</w:t>
      </w:r>
      <w:r w:rsidR="005879F1" w:rsidRPr="00FF1C9A">
        <w:rPr>
          <w:b w:val="0"/>
        </w:rPr>
        <w:t>.</w:t>
      </w:r>
      <w:r w:rsidR="00CA2503" w:rsidRPr="00FF1C9A">
        <w:rPr>
          <w:b w:val="0"/>
        </w:rPr>
        <w:t>,</w:t>
      </w:r>
      <w:r w:rsidRPr="00FF1C9A">
        <w:rPr>
          <w:b w:val="0"/>
        </w:rPr>
        <w:t xml:space="preserve"> K</w:t>
      </w:r>
      <w:r w:rsidR="001D125D" w:rsidRPr="00FF1C9A">
        <w:rPr>
          <w:b w:val="0"/>
        </w:rPr>
        <w:t>adirova</w:t>
      </w:r>
      <w:r w:rsidR="005879F1" w:rsidRPr="00FF1C9A">
        <w:rPr>
          <w:b w:val="0"/>
        </w:rPr>
        <w:t xml:space="preserve"> </w:t>
      </w:r>
      <w:r w:rsidRPr="00FF1C9A">
        <w:rPr>
          <w:b w:val="0"/>
        </w:rPr>
        <w:t>Z</w:t>
      </w:r>
      <w:r w:rsidR="005879F1" w:rsidRPr="00FF1C9A">
        <w:rPr>
          <w:b w:val="0"/>
        </w:rPr>
        <w:t>.</w:t>
      </w:r>
      <w:r w:rsidRPr="00FF1C9A">
        <w:rPr>
          <w:b w:val="0"/>
        </w:rPr>
        <w:t>C</w:t>
      </w:r>
      <w:r w:rsidR="005879F1" w:rsidRPr="00FF1C9A">
        <w:rPr>
          <w:b w:val="0"/>
        </w:rPr>
        <w:t>.</w:t>
      </w:r>
      <w:r w:rsidR="008F54CA" w:rsidRPr="00FF1C9A">
        <w:rPr>
          <w:b w:val="0"/>
        </w:rPr>
        <w:t>,</w:t>
      </w:r>
      <w:r w:rsidRPr="00FF1C9A">
        <w:rPr>
          <w:b w:val="0"/>
        </w:rPr>
        <w:t xml:space="preserve"> 2025</w:t>
      </w:r>
      <w:r w:rsidR="00DF59A1" w:rsidRPr="00FF1C9A">
        <w:rPr>
          <w:b w:val="0"/>
        </w:rPr>
        <w:t>b</w:t>
      </w:r>
      <w:r w:rsidR="005879F1" w:rsidRPr="00FF1C9A">
        <w:rPr>
          <w:b w:val="0"/>
        </w:rPr>
        <w:t>,</w:t>
      </w:r>
      <w:r w:rsidRPr="00FF1C9A">
        <w:rPr>
          <w:b w:val="0"/>
        </w:rPr>
        <w:t xml:space="preserve"> </w:t>
      </w:r>
      <w:r w:rsidR="00BE75E5" w:rsidRPr="00FF1C9A">
        <w:rPr>
          <w:b w:val="0"/>
        </w:rPr>
        <w:t>E</w:t>
      </w:r>
      <w:r w:rsidR="001D125D" w:rsidRPr="00FF1C9A">
        <w:rPr>
          <w:b w:val="0"/>
        </w:rPr>
        <w:t>ffect of desorption on photocatalytic decomposition of methylene blue using materials from solid wastes of production of molybdenum oxides (</w:t>
      </w:r>
      <w:r w:rsidR="00BE75E5" w:rsidRPr="00FF1C9A">
        <w:rPr>
          <w:b w:val="0"/>
        </w:rPr>
        <w:t>VI</w:t>
      </w:r>
      <w:r w:rsidR="001D125D" w:rsidRPr="00FF1C9A">
        <w:rPr>
          <w:b w:val="0"/>
        </w:rPr>
        <w:t>) and titanium dioxide, </w:t>
      </w:r>
      <w:r w:rsidR="00BE75E5" w:rsidRPr="00FF1C9A">
        <w:rPr>
          <w:b w:val="0"/>
          <w:i/>
          <w:iCs/>
        </w:rPr>
        <w:t>C</w:t>
      </w:r>
      <w:r w:rsidR="001D125D" w:rsidRPr="00FF1C9A">
        <w:rPr>
          <w:b w:val="0"/>
          <w:i/>
          <w:iCs/>
        </w:rPr>
        <w:t xml:space="preserve">hemistry and </w:t>
      </w:r>
      <w:r w:rsidR="00BE75E5" w:rsidRPr="00FF1C9A">
        <w:rPr>
          <w:b w:val="0"/>
          <w:i/>
          <w:iCs/>
        </w:rPr>
        <w:t>C</w:t>
      </w:r>
      <w:r w:rsidR="001D125D" w:rsidRPr="00FF1C9A">
        <w:rPr>
          <w:b w:val="0"/>
          <w:i/>
          <w:iCs/>
        </w:rPr>
        <w:t xml:space="preserve">hemical </w:t>
      </w:r>
      <w:r w:rsidR="00BE75E5" w:rsidRPr="00FF1C9A">
        <w:rPr>
          <w:b w:val="0"/>
          <w:i/>
          <w:iCs/>
        </w:rPr>
        <w:t>E</w:t>
      </w:r>
      <w:r w:rsidR="001D125D" w:rsidRPr="00FF1C9A">
        <w:rPr>
          <w:b w:val="0"/>
          <w:i/>
          <w:iCs/>
        </w:rPr>
        <w:t>ngineering</w:t>
      </w:r>
      <w:r w:rsidR="008F54CA" w:rsidRPr="00FF1C9A">
        <w:rPr>
          <w:b w:val="0"/>
        </w:rPr>
        <w:t xml:space="preserve">, </w:t>
      </w:r>
      <w:r w:rsidRPr="00FF1C9A">
        <w:rPr>
          <w:b w:val="0"/>
        </w:rPr>
        <w:t>2024</w:t>
      </w:r>
      <w:r w:rsidR="00CA2503" w:rsidRPr="00FF1C9A">
        <w:rPr>
          <w:b w:val="0"/>
        </w:rPr>
        <w:t>,</w:t>
      </w:r>
      <w:r w:rsidRPr="00FF1C9A">
        <w:rPr>
          <w:b w:val="0"/>
        </w:rPr>
        <w:t xml:space="preserve"> 4, </w:t>
      </w:r>
      <w:r w:rsidR="008F54CA" w:rsidRPr="00FF1C9A">
        <w:rPr>
          <w:b w:val="0"/>
        </w:rPr>
        <w:t>54-64</w:t>
      </w:r>
      <w:r w:rsidRPr="00FF1C9A">
        <w:rPr>
          <w:b w:val="0"/>
        </w:rPr>
        <w:t>.</w:t>
      </w:r>
      <w:r w:rsidR="00C911CD" w:rsidRPr="00FF1C9A">
        <w:rPr>
          <w:b w:val="0"/>
        </w:rPr>
        <w:t xml:space="preserve"> </w:t>
      </w:r>
    </w:p>
    <w:p w14:paraId="288834B0" w14:textId="7C948C39" w:rsidR="00E14D12" w:rsidRPr="00FF1C9A" w:rsidRDefault="00225B44" w:rsidP="00E14D12">
      <w:pPr>
        <w:pStyle w:val="CETReferencetext"/>
        <w:tabs>
          <w:tab w:val="left" w:pos="0"/>
        </w:tabs>
      </w:pPr>
      <w:r w:rsidRPr="00FF1C9A">
        <w:t>Yeung K.L., Yau S.T., Maira A.J., Coronado J.M., Soria J., Yue P.L., 2003, The influence of surface properties on the photocatalytic activity of nanostructured TiO</w:t>
      </w:r>
      <w:r w:rsidRPr="006F257E">
        <w:rPr>
          <w:vertAlign w:val="subscript"/>
        </w:rPr>
        <w:t>2</w:t>
      </w:r>
      <w:r w:rsidRPr="00FF1C9A">
        <w:t xml:space="preserve">, Journal of Catalysis, 219, 107–116. </w:t>
      </w:r>
    </w:p>
    <w:p w14:paraId="2586C216" w14:textId="2B29C5C3" w:rsidR="00EF1069" w:rsidRPr="00FF1C9A" w:rsidRDefault="00EF1069" w:rsidP="00E14D12">
      <w:pPr>
        <w:pStyle w:val="CETReferencetext"/>
        <w:tabs>
          <w:tab w:val="left" w:pos="0"/>
        </w:tabs>
      </w:pPr>
    </w:p>
    <w:sectPr w:rsidR="00EF1069" w:rsidRPr="00FF1C9A" w:rsidSect="00E53A32">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CDDC1" w14:textId="77777777" w:rsidR="001D4546" w:rsidRDefault="001D4546" w:rsidP="004F5E36">
      <w:r>
        <w:separator/>
      </w:r>
    </w:p>
  </w:endnote>
  <w:endnote w:type="continuationSeparator" w:id="0">
    <w:p w14:paraId="569F15CC" w14:textId="77777777" w:rsidR="001D4546" w:rsidRDefault="001D4546"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roma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B085C" w14:textId="77777777" w:rsidR="001D4546" w:rsidRDefault="001D4546" w:rsidP="004F5E36">
      <w:r>
        <w:separator/>
      </w:r>
    </w:p>
  </w:footnote>
  <w:footnote w:type="continuationSeparator" w:id="0">
    <w:p w14:paraId="27F44FA2" w14:textId="77777777" w:rsidR="001D4546" w:rsidRDefault="001D4546"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E7BCCE72"/>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lang w:val="en-GB"/>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5A37C5A"/>
    <w:multiLevelType w:val="multilevel"/>
    <w:tmpl w:val="CCCC2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0D30B3"/>
    <w:multiLevelType w:val="multilevel"/>
    <w:tmpl w:val="11EC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20"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13250BE"/>
    <w:multiLevelType w:val="hybridMultilevel"/>
    <w:tmpl w:val="1A0ECB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9"/>
  </w:num>
  <w:num w:numId="13">
    <w:abstractNumId w:val="12"/>
  </w:num>
  <w:num w:numId="14">
    <w:abstractNumId w:val="20"/>
  </w:num>
  <w:num w:numId="15">
    <w:abstractNumId w:val="22"/>
  </w:num>
  <w:num w:numId="16">
    <w:abstractNumId w:val="21"/>
  </w:num>
  <w:num w:numId="17">
    <w:abstractNumId w:val="11"/>
  </w:num>
  <w:num w:numId="18">
    <w:abstractNumId w:val="12"/>
    <w:lvlOverride w:ilvl="0">
      <w:startOverride w:val="1"/>
    </w:lvlOverride>
  </w:num>
  <w:num w:numId="19">
    <w:abstractNumId w:val="18"/>
  </w:num>
  <w:num w:numId="20">
    <w:abstractNumId w:val="17"/>
  </w:num>
  <w:num w:numId="21">
    <w:abstractNumId w:val="16"/>
  </w:num>
  <w:num w:numId="22">
    <w:abstractNumId w:val="14"/>
  </w:num>
  <w:num w:numId="23">
    <w:abstractNumId w:val="23"/>
  </w:num>
  <w:num w:numId="24">
    <w:abstractNumId w:val="13"/>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3A6"/>
    <w:rsid w:val="000027C0"/>
    <w:rsid w:val="00003F53"/>
    <w:rsid w:val="000052FB"/>
    <w:rsid w:val="00005884"/>
    <w:rsid w:val="00005A19"/>
    <w:rsid w:val="000117CB"/>
    <w:rsid w:val="00013494"/>
    <w:rsid w:val="000173F9"/>
    <w:rsid w:val="0002233E"/>
    <w:rsid w:val="0003148D"/>
    <w:rsid w:val="00031EEC"/>
    <w:rsid w:val="00035D24"/>
    <w:rsid w:val="000414BA"/>
    <w:rsid w:val="00046637"/>
    <w:rsid w:val="00051566"/>
    <w:rsid w:val="00053AC7"/>
    <w:rsid w:val="000562A9"/>
    <w:rsid w:val="0005701C"/>
    <w:rsid w:val="00057ECA"/>
    <w:rsid w:val="00062A9A"/>
    <w:rsid w:val="00065058"/>
    <w:rsid w:val="000767C2"/>
    <w:rsid w:val="00085D0C"/>
    <w:rsid w:val="0008610D"/>
    <w:rsid w:val="000862DE"/>
    <w:rsid w:val="00086C39"/>
    <w:rsid w:val="00087DD0"/>
    <w:rsid w:val="000912D0"/>
    <w:rsid w:val="000A03B2"/>
    <w:rsid w:val="000B3CAA"/>
    <w:rsid w:val="000B4980"/>
    <w:rsid w:val="000C3BA5"/>
    <w:rsid w:val="000C75FF"/>
    <w:rsid w:val="000D0268"/>
    <w:rsid w:val="000D26D7"/>
    <w:rsid w:val="000D34BE"/>
    <w:rsid w:val="000D511F"/>
    <w:rsid w:val="000E102F"/>
    <w:rsid w:val="000E24F5"/>
    <w:rsid w:val="000E36F1"/>
    <w:rsid w:val="000E3A73"/>
    <w:rsid w:val="000E414A"/>
    <w:rsid w:val="000E75FD"/>
    <w:rsid w:val="000E7669"/>
    <w:rsid w:val="000F093C"/>
    <w:rsid w:val="000F787B"/>
    <w:rsid w:val="00101F02"/>
    <w:rsid w:val="00107149"/>
    <w:rsid w:val="00111217"/>
    <w:rsid w:val="00113923"/>
    <w:rsid w:val="00114DC7"/>
    <w:rsid w:val="0012091F"/>
    <w:rsid w:val="00124AAD"/>
    <w:rsid w:val="00126BC2"/>
    <w:rsid w:val="001308B6"/>
    <w:rsid w:val="0013121F"/>
    <w:rsid w:val="00131FE6"/>
    <w:rsid w:val="0013263F"/>
    <w:rsid w:val="001331DF"/>
    <w:rsid w:val="00134DE4"/>
    <w:rsid w:val="0014034D"/>
    <w:rsid w:val="00140EE8"/>
    <w:rsid w:val="00140FE3"/>
    <w:rsid w:val="00144D16"/>
    <w:rsid w:val="00145306"/>
    <w:rsid w:val="00150E59"/>
    <w:rsid w:val="00152DE3"/>
    <w:rsid w:val="0015324D"/>
    <w:rsid w:val="00161929"/>
    <w:rsid w:val="001636E5"/>
    <w:rsid w:val="001649CA"/>
    <w:rsid w:val="00164CF9"/>
    <w:rsid w:val="001667A6"/>
    <w:rsid w:val="001710A8"/>
    <w:rsid w:val="001726CC"/>
    <w:rsid w:val="00174596"/>
    <w:rsid w:val="00175D3B"/>
    <w:rsid w:val="00176F98"/>
    <w:rsid w:val="00181246"/>
    <w:rsid w:val="00182F5F"/>
    <w:rsid w:val="00184AD6"/>
    <w:rsid w:val="001A4AF7"/>
    <w:rsid w:val="001A7900"/>
    <w:rsid w:val="001B0349"/>
    <w:rsid w:val="001B1E93"/>
    <w:rsid w:val="001B212F"/>
    <w:rsid w:val="001B4493"/>
    <w:rsid w:val="001B65C1"/>
    <w:rsid w:val="001C260F"/>
    <w:rsid w:val="001C32BB"/>
    <w:rsid w:val="001C33F1"/>
    <w:rsid w:val="001C684B"/>
    <w:rsid w:val="001C6A86"/>
    <w:rsid w:val="001D0CFB"/>
    <w:rsid w:val="001D125D"/>
    <w:rsid w:val="001D21AF"/>
    <w:rsid w:val="001D4546"/>
    <w:rsid w:val="001D53FC"/>
    <w:rsid w:val="001F193B"/>
    <w:rsid w:val="001F21C0"/>
    <w:rsid w:val="001F42A5"/>
    <w:rsid w:val="001F7B9D"/>
    <w:rsid w:val="00201C93"/>
    <w:rsid w:val="002045FD"/>
    <w:rsid w:val="002069F5"/>
    <w:rsid w:val="002104F4"/>
    <w:rsid w:val="002204B8"/>
    <w:rsid w:val="002224B4"/>
    <w:rsid w:val="00225B44"/>
    <w:rsid w:val="0023232D"/>
    <w:rsid w:val="00233588"/>
    <w:rsid w:val="00233CC7"/>
    <w:rsid w:val="00234254"/>
    <w:rsid w:val="00235448"/>
    <w:rsid w:val="00235A89"/>
    <w:rsid w:val="00237B8D"/>
    <w:rsid w:val="00242415"/>
    <w:rsid w:val="002447EF"/>
    <w:rsid w:val="00244962"/>
    <w:rsid w:val="00251550"/>
    <w:rsid w:val="002551AF"/>
    <w:rsid w:val="00255717"/>
    <w:rsid w:val="002563FD"/>
    <w:rsid w:val="00262EE8"/>
    <w:rsid w:val="00263B05"/>
    <w:rsid w:val="002658EF"/>
    <w:rsid w:val="002663F6"/>
    <w:rsid w:val="002671C8"/>
    <w:rsid w:val="0027221A"/>
    <w:rsid w:val="00275B61"/>
    <w:rsid w:val="00276F29"/>
    <w:rsid w:val="00276F45"/>
    <w:rsid w:val="00280130"/>
    <w:rsid w:val="00280FAF"/>
    <w:rsid w:val="00281720"/>
    <w:rsid w:val="00282656"/>
    <w:rsid w:val="00286A2A"/>
    <w:rsid w:val="00296B83"/>
    <w:rsid w:val="002A0CBF"/>
    <w:rsid w:val="002A5F4A"/>
    <w:rsid w:val="002B03C4"/>
    <w:rsid w:val="002B04AA"/>
    <w:rsid w:val="002B1D17"/>
    <w:rsid w:val="002B2B89"/>
    <w:rsid w:val="002B3C58"/>
    <w:rsid w:val="002B4015"/>
    <w:rsid w:val="002B4759"/>
    <w:rsid w:val="002B6B34"/>
    <w:rsid w:val="002B78CE"/>
    <w:rsid w:val="002C2FB6"/>
    <w:rsid w:val="002C33AC"/>
    <w:rsid w:val="002C38B2"/>
    <w:rsid w:val="002D0F5E"/>
    <w:rsid w:val="002D43C6"/>
    <w:rsid w:val="002D720E"/>
    <w:rsid w:val="002E5FA7"/>
    <w:rsid w:val="002E60C3"/>
    <w:rsid w:val="002F1275"/>
    <w:rsid w:val="002F283A"/>
    <w:rsid w:val="002F3309"/>
    <w:rsid w:val="002F3ABD"/>
    <w:rsid w:val="002F47A2"/>
    <w:rsid w:val="002F5A79"/>
    <w:rsid w:val="003008CE"/>
    <w:rsid w:val="003009B7"/>
    <w:rsid w:val="00300E56"/>
    <w:rsid w:val="0030152C"/>
    <w:rsid w:val="0030469C"/>
    <w:rsid w:val="00305346"/>
    <w:rsid w:val="00310CA8"/>
    <w:rsid w:val="00311455"/>
    <w:rsid w:val="0031525F"/>
    <w:rsid w:val="003209FD"/>
    <w:rsid w:val="00321CA6"/>
    <w:rsid w:val="00323763"/>
    <w:rsid w:val="00323C5F"/>
    <w:rsid w:val="00331793"/>
    <w:rsid w:val="00332C84"/>
    <w:rsid w:val="00334C09"/>
    <w:rsid w:val="0033518C"/>
    <w:rsid w:val="00340D83"/>
    <w:rsid w:val="003502D9"/>
    <w:rsid w:val="00365530"/>
    <w:rsid w:val="00365D9F"/>
    <w:rsid w:val="003723D4"/>
    <w:rsid w:val="003729E6"/>
    <w:rsid w:val="003743D5"/>
    <w:rsid w:val="003808B1"/>
    <w:rsid w:val="00381905"/>
    <w:rsid w:val="00384CC8"/>
    <w:rsid w:val="00385AAD"/>
    <w:rsid w:val="003871FD"/>
    <w:rsid w:val="003948CC"/>
    <w:rsid w:val="003A0D26"/>
    <w:rsid w:val="003A192D"/>
    <w:rsid w:val="003A1E30"/>
    <w:rsid w:val="003A2829"/>
    <w:rsid w:val="003A2D58"/>
    <w:rsid w:val="003A35D2"/>
    <w:rsid w:val="003A6481"/>
    <w:rsid w:val="003A7D1C"/>
    <w:rsid w:val="003B304B"/>
    <w:rsid w:val="003B3146"/>
    <w:rsid w:val="003B38DC"/>
    <w:rsid w:val="003B4508"/>
    <w:rsid w:val="003B573C"/>
    <w:rsid w:val="003C03FA"/>
    <w:rsid w:val="003C4936"/>
    <w:rsid w:val="003D0117"/>
    <w:rsid w:val="003D1E02"/>
    <w:rsid w:val="003D4943"/>
    <w:rsid w:val="003D564F"/>
    <w:rsid w:val="003D726A"/>
    <w:rsid w:val="003E30C8"/>
    <w:rsid w:val="003E5D72"/>
    <w:rsid w:val="003E798C"/>
    <w:rsid w:val="003F015E"/>
    <w:rsid w:val="003F2D74"/>
    <w:rsid w:val="003F3F5D"/>
    <w:rsid w:val="003F4CB3"/>
    <w:rsid w:val="003F712F"/>
    <w:rsid w:val="00400414"/>
    <w:rsid w:val="00400ABD"/>
    <w:rsid w:val="004011E1"/>
    <w:rsid w:val="00401AA5"/>
    <w:rsid w:val="00414062"/>
    <w:rsid w:val="0041446B"/>
    <w:rsid w:val="004152C5"/>
    <w:rsid w:val="00416830"/>
    <w:rsid w:val="004234F0"/>
    <w:rsid w:val="00425377"/>
    <w:rsid w:val="004307FD"/>
    <w:rsid w:val="00435150"/>
    <w:rsid w:val="0043768A"/>
    <w:rsid w:val="0044071E"/>
    <w:rsid w:val="0044329C"/>
    <w:rsid w:val="00444168"/>
    <w:rsid w:val="00450827"/>
    <w:rsid w:val="00453E24"/>
    <w:rsid w:val="00457456"/>
    <w:rsid w:val="004577FE"/>
    <w:rsid w:val="00457B9C"/>
    <w:rsid w:val="004606A3"/>
    <w:rsid w:val="0046164A"/>
    <w:rsid w:val="004628D2"/>
    <w:rsid w:val="00462DCD"/>
    <w:rsid w:val="004644F3"/>
    <w:rsid w:val="004648AD"/>
    <w:rsid w:val="0046551A"/>
    <w:rsid w:val="004703A9"/>
    <w:rsid w:val="00470F8D"/>
    <w:rsid w:val="00472301"/>
    <w:rsid w:val="00475A69"/>
    <w:rsid w:val="00475CB0"/>
    <w:rsid w:val="004760DE"/>
    <w:rsid w:val="004763D7"/>
    <w:rsid w:val="00480E2F"/>
    <w:rsid w:val="004818B7"/>
    <w:rsid w:val="00487B3B"/>
    <w:rsid w:val="004902A4"/>
    <w:rsid w:val="004A004E"/>
    <w:rsid w:val="004A1395"/>
    <w:rsid w:val="004A24CF"/>
    <w:rsid w:val="004A5E57"/>
    <w:rsid w:val="004B08C7"/>
    <w:rsid w:val="004C194F"/>
    <w:rsid w:val="004C3D1D"/>
    <w:rsid w:val="004C3D84"/>
    <w:rsid w:val="004C66AF"/>
    <w:rsid w:val="004C67B9"/>
    <w:rsid w:val="004C7913"/>
    <w:rsid w:val="004E4DD6"/>
    <w:rsid w:val="004E5981"/>
    <w:rsid w:val="004F137C"/>
    <w:rsid w:val="004F5768"/>
    <w:rsid w:val="004F5E36"/>
    <w:rsid w:val="004F679B"/>
    <w:rsid w:val="00500695"/>
    <w:rsid w:val="00501732"/>
    <w:rsid w:val="00507B47"/>
    <w:rsid w:val="00507BEF"/>
    <w:rsid w:val="00507CC9"/>
    <w:rsid w:val="00507DAC"/>
    <w:rsid w:val="005119A5"/>
    <w:rsid w:val="00517E77"/>
    <w:rsid w:val="00520951"/>
    <w:rsid w:val="005278B7"/>
    <w:rsid w:val="00532016"/>
    <w:rsid w:val="005326F8"/>
    <w:rsid w:val="00532D52"/>
    <w:rsid w:val="0053329A"/>
    <w:rsid w:val="005346C8"/>
    <w:rsid w:val="005355FF"/>
    <w:rsid w:val="00536C29"/>
    <w:rsid w:val="00540B55"/>
    <w:rsid w:val="00543E7D"/>
    <w:rsid w:val="00547A68"/>
    <w:rsid w:val="005531C9"/>
    <w:rsid w:val="00553D1A"/>
    <w:rsid w:val="0055605A"/>
    <w:rsid w:val="00560E6C"/>
    <w:rsid w:val="00562C0F"/>
    <w:rsid w:val="005649D3"/>
    <w:rsid w:val="00566363"/>
    <w:rsid w:val="00570C43"/>
    <w:rsid w:val="00573363"/>
    <w:rsid w:val="005741DE"/>
    <w:rsid w:val="00580B9A"/>
    <w:rsid w:val="005879F1"/>
    <w:rsid w:val="00587E8B"/>
    <w:rsid w:val="00590CC1"/>
    <w:rsid w:val="00592274"/>
    <w:rsid w:val="005A4D27"/>
    <w:rsid w:val="005A5DAD"/>
    <w:rsid w:val="005B2110"/>
    <w:rsid w:val="005B4E43"/>
    <w:rsid w:val="005B61E6"/>
    <w:rsid w:val="005C10B6"/>
    <w:rsid w:val="005C4F05"/>
    <w:rsid w:val="005C6ED0"/>
    <w:rsid w:val="005C77E1"/>
    <w:rsid w:val="005D4633"/>
    <w:rsid w:val="005D668A"/>
    <w:rsid w:val="005D6A2F"/>
    <w:rsid w:val="005E0592"/>
    <w:rsid w:val="005E1A82"/>
    <w:rsid w:val="005E70C3"/>
    <w:rsid w:val="005E794C"/>
    <w:rsid w:val="005F0A28"/>
    <w:rsid w:val="005F0E5E"/>
    <w:rsid w:val="005F3997"/>
    <w:rsid w:val="005F3C16"/>
    <w:rsid w:val="005F42FB"/>
    <w:rsid w:val="005F5878"/>
    <w:rsid w:val="00600535"/>
    <w:rsid w:val="00607BCF"/>
    <w:rsid w:val="006103D7"/>
    <w:rsid w:val="00610CD6"/>
    <w:rsid w:val="00620DEE"/>
    <w:rsid w:val="00621F92"/>
    <w:rsid w:val="0062280A"/>
    <w:rsid w:val="006231E1"/>
    <w:rsid w:val="00625639"/>
    <w:rsid w:val="00631B33"/>
    <w:rsid w:val="00637215"/>
    <w:rsid w:val="0064184D"/>
    <w:rsid w:val="006422CC"/>
    <w:rsid w:val="00642D86"/>
    <w:rsid w:val="00645401"/>
    <w:rsid w:val="00650F51"/>
    <w:rsid w:val="00651D18"/>
    <w:rsid w:val="00653387"/>
    <w:rsid w:val="00660E3E"/>
    <w:rsid w:val="006615C3"/>
    <w:rsid w:val="00662E74"/>
    <w:rsid w:val="00664F9F"/>
    <w:rsid w:val="00666EC3"/>
    <w:rsid w:val="00675EE0"/>
    <w:rsid w:val="00680967"/>
    <w:rsid w:val="00680C23"/>
    <w:rsid w:val="00683E23"/>
    <w:rsid w:val="00693766"/>
    <w:rsid w:val="006A3281"/>
    <w:rsid w:val="006A3918"/>
    <w:rsid w:val="006A6D73"/>
    <w:rsid w:val="006B077E"/>
    <w:rsid w:val="006B46F4"/>
    <w:rsid w:val="006B4888"/>
    <w:rsid w:val="006B6E5B"/>
    <w:rsid w:val="006C2E45"/>
    <w:rsid w:val="006C359C"/>
    <w:rsid w:val="006C5579"/>
    <w:rsid w:val="006D5D1B"/>
    <w:rsid w:val="006D6E8B"/>
    <w:rsid w:val="006D7209"/>
    <w:rsid w:val="006D7994"/>
    <w:rsid w:val="006E3276"/>
    <w:rsid w:val="006E33AF"/>
    <w:rsid w:val="006E3A5E"/>
    <w:rsid w:val="006E596E"/>
    <w:rsid w:val="006E737D"/>
    <w:rsid w:val="006F257E"/>
    <w:rsid w:val="007067FF"/>
    <w:rsid w:val="00707DD1"/>
    <w:rsid w:val="007105E1"/>
    <w:rsid w:val="007106E3"/>
    <w:rsid w:val="00713973"/>
    <w:rsid w:val="007154A6"/>
    <w:rsid w:val="00716D0A"/>
    <w:rsid w:val="00717B3C"/>
    <w:rsid w:val="00720A24"/>
    <w:rsid w:val="00721A93"/>
    <w:rsid w:val="0072619C"/>
    <w:rsid w:val="0073029D"/>
    <w:rsid w:val="007317D7"/>
    <w:rsid w:val="00732386"/>
    <w:rsid w:val="0073514D"/>
    <w:rsid w:val="007421D5"/>
    <w:rsid w:val="007447F3"/>
    <w:rsid w:val="00746A4D"/>
    <w:rsid w:val="00751CA4"/>
    <w:rsid w:val="0075499F"/>
    <w:rsid w:val="007617CC"/>
    <w:rsid w:val="00762E7E"/>
    <w:rsid w:val="0076355E"/>
    <w:rsid w:val="00765DF0"/>
    <w:rsid w:val="007661C8"/>
    <w:rsid w:val="00767BB9"/>
    <w:rsid w:val="00767D60"/>
    <w:rsid w:val="0077098D"/>
    <w:rsid w:val="0078129C"/>
    <w:rsid w:val="00785BF9"/>
    <w:rsid w:val="00786795"/>
    <w:rsid w:val="00787B1C"/>
    <w:rsid w:val="007931FA"/>
    <w:rsid w:val="00795E7A"/>
    <w:rsid w:val="007A0CE3"/>
    <w:rsid w:val="007A271A"/>
    <w:rsid w:val="007A4861"/>
    <w:rsid w:val="007A7BBA"/>
    <w:rsid w:val="007B0C50"/>
    <w:rsid w:val="007B48F9"/>
    <w:rsid w:val="007C0EDD"/>
    <w:rsid w:val="007C1A43"/>
    <w:rsid w:val="007C2D56"/>
    <w:rsid w:val="007C50C8"/>
    <w:rsid w:val="007D0951"/>
    <w:rsid w:val="007D4E0F"/>
    <w:rsid w:val="007D5505"/>
    <w:rsid w:val="007F27C8"/>
    <w:rsid w:val="007F2BF1"/>
    <w:rsid w:val="007F6782"/>
    <w:rsid w:val="0080013E"/>
    <w:rsid w:val="00802038"/>
    <w:rsid w:val="00805285"/>
    <w:rsid w:val="00813288"/>
    <w:rsid w:val="008168FC"/>
    <w:rsid w:val="00817E4C"/>
    <w:rsid w:val="00820CEE"/>
    <w:rsid w:val="00821DB1"/>
    <w:rsid w:val="00824368"/>
    <w:rsid w:val="00825620"/>
    <w:rsid w:val="00827086"/>
    <w:rsid w:val="00830996"/>
    <w:rsid w:val="008314D7"/>
    <w:rsid w:val="008345F1"/>
    <w:rsid w:val="00834FBA"/>
    <w:rsid w:val="0084712E"/>
    <w:rsid w:val="00865B07"/>
    <w:rsid w:val="008667EA"/>
    <w:rsid w:val="00871457"/>
    <w:rsid w:val="00873655"/>
    <w:rsid w:val="0087637F"/>
    <w:rsid w:val="008806EE"/>
    <w:rsid w:val="00886683"/>
    <w:rsid w:val="00892AB4"/>
    <w:rsid w:val="00892AD5"/>
    <w:rsid w:val="008A1512"/>
    <w:rsid w:val="008A6782"/>
    <w:rsid w:val="008B319A"/>
    <w:rsid w:val="008C03A9"/>
    <w:rsid w:val="008D32B9"/>
    <w:rsid w:val="008D433B"/>
    <w:rsid w:val="008D4A16"/>
    <w:rsid w:val="008E0228"/>
    <w:rsid w:val="008E209A"/>
    <w:rsid w:val="008E45BC"/>
    <w:rsid w:val="008E566E"/>
    <w:rsid w:val="008E7398"/>
    <w:rsid w:val="008F54CA"/>
    <w:rsid w:val="0090161A"/>
    <w:rsid w:val="00901EB6"/>
    <w:rsid w:val="009041F8"/>
    <w:rsid w:val="00904C62"/>
    <w:rsid w:val="009100D6"/>
    <w:rsid w:val="00912FB0"/>
    <w:rsid w:val="00922BA8"/>
    <w:rsid w:val="00922E4F"/>
    <w:rsid w:val="00924DAC"/>
    <w:rsid w:val="00927058"/>
    <w:rsid w:val="009361BB"/>
    <w:rsid w:val="00936C87"/>
    <w:rsid w:val="00942750"/>
    <w:rsid w:val="009450CE"/>
    <w:rsid w:val="00945442"/>
    <w:rsid w:val="009459BB"/>
    <w:rsid w:val="00947179"/>
    <w:rsid w:val="0095164B"/>
    <w:rsid w:val="00952BF2"/>
    <w:rsid w:val="00953106"/>
    <w:rsid w:val="00954090"/>
    <w:rsid w:val="00955C4C"/>
    <w:rsid w:val="009573E7"/>
    <w:rsid w:val="00963E05"/>
    <w:rsid w:val="00964A45"/>
    <w:rsid w:val="00967843"/>
    <w:rsid w:val="00967AB7"/>
    <w:rsid w:val="00967D54"/>
    <w:rsid w:val="00971028"/>
    <w:rsid w:val="00976ADC"/>
    <w:rsid w:val="00993B84"/>
    <w:rsid w:val="00996483"/>
    <w:rsid w:val="00996F5A"/>
    <w:rsid w:val="009A3FA3"/>
    <w:rsid w:val="009B041A"/>
    <w:rsid w:val="009B29AA"/>
    <w:rsid w:val="009B2CB0"/>
    <w:rsid w:val="009C37C3"/>
    <w:rsid w:val="009C7C86"/>
    <w:rsid w:val="009D09D5"/>
    <w:rsid w:val="009D2FF7"/>
    <w:rsid w:val="009D3D15"/>
    <w:rsid w:val="009D4E7F"/>
    <w:rsid w:val="009D5EA2"/>
    <w:rsid w:val="009D7356"/>
    <w:rsid w:val="009E2CD1"/>
    <w:rsid w:val="009E56EB"/>
    <w:rsid w:val="009E7884"/>
    <w:rsid w:val="009E788A"/>
    <w:rsid w:val="009F0E08"/>
    <w:rsid w:val="009F17E8"/>
    <w:rsid w:val="009F22F2"/>
    <w:rsid w:val="00A05BE2"/>
    <w:rsid w:val="00A07754"/>
    <w:rsid w:val="00A079AE"/>
    <w:rsid w:val="00A1763D"/>
    <w:rsid w:val="00A17CEC"/>
    <w:rsid w:val="00A24346"/>
    <w:rsid w:val="00A25059"/>
    <w:rsid w:val="00A26CBB"/>
    <w:rsid w:val="00A278AC"/>
    <w:rsid w:val="00A27EF0"/>
    <w:rsid w:val="00A3657F"/>
    <w:rsid w:val="00A42361"/>
    <w:rsid w:val="00A4600B"/>
    <w:rsid w:val="00A474D1"/>
    <w:rsid w:val="00A509E5"/>
    <w:rsid w:val="00A50B20"/>
    <w:rsid w:val="00A51390"/>
    <w:rsid w:val="00A534AA"/>
    <w:rsid w:val="00A57856"/>
    <w:rsid w:val="00A57BF4"/>
    <w:rsid w:val="00A60D13"/>
    <w:rsid w:val="00A6450B"/>
    <w:rsid w:val="00A65763"/>
    <w:rsid w:val="00A70C02"/>
    <w:rsid w:val="00A7223D"/>
    <w:rsid w:val="00A72745"/>
    <w:rsid w:val="00A73CA7"/>
    <w:rsid w:val="00A74A5A"/>
    <w:rsid w:val="00A76EFC"/>
    <w:rsid w:val="00A87D50"/>
    <w:rsid w:val="00A91010"/>
    <w:rsid w:val="00A97695"/>
    <w:rsid w:val="00A97F29"/>
    <w:rsid w:val="00AA327B"/>
    <w:rsid w:val="00AA4BAE"/>
    <w:rsid w:val="00AA4F27"/>
    <w:rsid w:val="00AA702E"/>
    <w:rsid w:val="00AA7D26"/>
    <w:rsid w:val="00AB05FE"/>
    <w:rsid w:val="00AB0964"/>
    <w:rsid w:val="00AB32A3"/>
    <w:rsid w:val="00AB5011"/>
    <w:rsid w:val="00AC2E74"/>
    <w:rsid w:val="00AC7368"/>
    <w:rsid w:val="00AD0278"/>
    <w:rsid w:val="00AD0E03"/>
    <w:rsid w:val="00AD16B9"/>
    <w:rsid w:val="00AD464F"/>
    <w:rsid w:val="00AE2EBF"/>
    <w:rsid w:val="00AE377D"/>
    <w:rsid w:val="00AE7EBE"/>
    <w:rsid w:val="00AF0EBA"/>
    <w:rsid w:val="00AF2887"/>
    <w:rsid w:val="00AF6AC4"/>
    <w:rsid w:val="00B00B66"/>
    <w:rsid w:val="00B02C8A"/>
    <w:rsid w:val="00B065CF"/>
    <w:rsid w:val="00B1116A"/>
    <w:rsid w:val="00B16514"/>
    <w:rsid w:val="00B169B1"/>
    <w:rsid w:val="00B17FBD"/>
    <w:rsid w:val="00B24F7A"/>
    <w:rsid w:val="00B27D8B"/>
    <w:rsid w:val="00B3148F"/>
    <w:rsid w:val="00B315A6"/>
    <w:rsid w:val="00B31813"/>
    <w:rsid w:val="00B33365"/>
    <w:rsid w:val="00B440F2"/>
    <w:rsid w:val="00B4555E"/>
    <w:rsid w:val="00B57B36"/>
    <w:rsid w:val="00B57E6F"/>
    <w:rsid w:val="00B609E6"/>
    <w:rsid w:val="00B65190"/>
    <w:rsid w:val="00B6528D"/>
    <w:rsid w:val="00B8686D"/>
    <w:rsid w:val="00B8784E"/>
    <w:rsid w:val="00B93F69"/>
    <w:rsid w:val="00BA1262"/>
    <w:rsid w:val="00BA7788"/>
    <w:rsid w:val="00BB1AE6"/>
    <w:rsid w:val="00BB1DDC"/>
    <w:rsid w:val="00BC2B34"/>
    <w:rsid w:val="00BC30C9"/>
    <w:rsid w:val="00BC4BBA"/>
    <w:rsid w:val="00BC6D55"/>
    <w:rsid w:val="00BC7801"/>
    <w:rsid w:val="00BD077D"/>
    <w:rsid w:val="00BD126B"/>
    <w:rsid w:val="00BD2510"/>
    <w:rsid w:val="00BE1578"/>
    <w:rsid w:val="00BE2150"/>
    <w:rsid w:val="00BE3E58"/>
    <w:rsid w:val="00BE52C4"/>
    <w:rsid w:val="00BE6E9D"/>
    <w:rsid w:val="00BE75E5"/>
    <w:rsid w:val="00BF7BB1"/>
    <w:rsid w:val="00BF7DA3"/>
    <w:rsid w:val="00C01616"/>
    <w:rsid w:val="00C0162B"/>
    <w:rsid w:val="00C039D3"/>
    <w:rsid w:val="00C05F7D"/>
    <w:rsid w:val="00C068ED"/>
    <w:rsid w:val="00C14518"/>
    <w:rsid w:val="00C1753A"/>
    <w:rsid w:val="00C208E9"/>
    <w:rsid w:val="00C22E0C"/>
    <w:rsid w:val="00C34354"/>
    <w:rsid w:val="00C345B1"/>
    <w:rsid w:val="00C40142"/>
    <w:rsid w:val="00C46985"/>
    <w:rsid w:val="00C52C3C"/>
    <w:rsid w:val="00C54197"/>
    <w:rsid w:val="00C5432A"/>
    <w:rsid w:val="00C56DAF"/>
    <w:rsid w:val="00C57182"/>
    <w:rsid w:val="00C57863"/>
    <w:rsid w:val="00C62F5D"/>
    <w:rsid w:val="00C640AF"/>
    <w:rsid w:val="00C64ADE"/>
    <w:rsid w:val="00C655FD"/>
    <w:rsid w:val="00C74A56"/>
    <w:rsid w:val="00C74CC7"/>
    <w:rsid w:val="00C75407"/>
    <w:rsid w:val="00C803A5"/>
    <w:rsid w:val="00C83D23"/>
    <w:rsid w:val="00C841C6"/>
    <w:rsid w:val="00C870A8"/>
    <w:rsid w:val="00C878D3"/>
    <w:rsid w:val="00C911CD"/>
    <w:rsid w:val="00C94434"/>
    <w:rsid w:val="00C95F0C"/>
    <w:rsid w:val="00CA0D75"/>
    <w:rsid w:val="00CA1C95"/>
    <w:rsid w:val="00CA2503"/>
    <w:rsid w:val="00CA2799"/>
    <w:rsid w:val="00CA2B60"/>
    <w:rsid w:val="00CA5A9C"/>
    <w:rsid w:val="00CA61BC"/>
    <w:rsid w:val="00CB2614"/>
    <w:rsid w:val="00CB77EE"/>
    <w:rsid w:val="00CB7FA2"/>
    <w:rsid w:val="00CC0C61"/>
    <w:rsid w:val="00CC4C20"/>
    <w:rsid w:val="00CD3517"/>
    <w:rsid w:val="00CD5FE2"/>
    <w:rsid w:val="00CE0EEE"/>
    <w:rsid w:val="00CE78AC"/>
    <w:rsid w:val="00CE7C68"/>
    <w:rsid w:val="00CE7E8B"/>
    <w:rsid w:val="00CF1E14"/>
    <w:rsid w:val="00CF33EE"/>
    <w:rsid w:val="00CF697A"/>
    <w:rsid w:val="00D00C32"/>
    <w:rsid w:val="00D00D3C"/>
    <w:rsid w:val="00D02B4C"/>
    <w:rsid w:val="00D040C4"/>
    <w:rsid w:val="00D06E43"/>
    <w:rsid w:val="00D16318"/>
    <w:rsid w:val="00D20490"/>
    <w:rsid w:val="00D20610"/>
    <w:rsid w:val="00D20AD1"/>
    <w:rsid w:val="00D22D1A"/>
    <w:rsid w:val="00D23199"/>
    <w:rsid w:val="00D2582C"/>
    <w:rsid w:val="00D41471"/>
    <w:rsid w:val="00D46B7E"/>
    <w:rsid w:val="00D57C84"/>
    <w:rsid w:val="00D6057D"/>
    <w:rsid w:val="00D71640"/>
    <w:rsid w:val="00D73850"/>
    <w:rsid w:val="00D74038"/>
    <w:rsid w:val="00D836C5"/>
    <w:rsid w:val="00D84576"/>
    <w:rsid w:val="00D8543A"/>
    <w:rsid w:val="00D86218"/>
    <w:rsid w:val="00D913FB"/>
    <w:rsid w:val="00D97DBA"/>
    <w:rsid w:val="00DA1399"/>
    <w:rsid w:val="00DA24C6"/>
    <w:rsid w:val="00DA4D7B"/>
    <w:rsid w:val="00DA7622"/>
    <w:rsid w:val="00DB4C8C"/>
    <w:rsid w:val="00DB7F14"/>
    <w:rsid w:val="00DD140D"/>
    <w:rsid w:val="00DD271C"/>
    <w:rsid w:val="00DD3762"/>
    <w:rsid w:val="00DD62FF"/>
    <w:rsid w:val="00DE2072"/>
    <w:rsid w:val="00DE264A"/>
    <w:rsid w:val="00DE3399"/>
    <w:rsid w:val="00DE5D89"/>
    <w:rsid w:val="00DF5072"/>
    <w:rsid w:val="00DF59A1"/>
    <w:rsid w:val="00DF70EF"/>
    <w:rsid w:val="00E018F3"/>
    <w:rsid w:val="00E0218A"/>
    <w:rsid w:val="00E029DD"/>
    <w:rsid w:val="00E02D18"/>
    <w:rsid w:val="00E035A0"/>
    <w:rsid w:val="00E041E7"/>
    <w:rsid w:val="00E102B0"/>
    <w:rsid w:val="00E11CA1"/>
    <w:rsid w:val="00E13569"/>
    <w:rsid w:val="00E14D12"/>
    <w:rsid w:val="00E16084"/>
    <w:rsid w:val="00E22303"/>
    <w:rsid w:val="00E23CA1"/>
    <w:rsid w:val="00E26534"/>
    <w:rsid w:val="00E27EEE"/>
    <w:rsid w:val="00E409A8"/>
    <w:rsid w:val="00E41A88"/>
    <w:rsid w:val="00E41D9D"/>
    <w:rsid w:val="00E42408"/>
    <w:rsid w:val="00E47D61"/>
    <w:rsid w:val="00E50C12"/>
    <w:rsid w:val="00E53A32"/>
    <w:rsid w:val="00E5586E"/>
    <w:rsid w:val="00E61E10"/>
    <w:rsid w:val="00E65671"/>
    <w:rsid w:val="00E65B91"/>
    <w:rsid w:val="00E70583"/>
    <w:rsid w:val="00E7209D"/>
    <w:rsid w:val="00E72EAD"/>
    <w:rsid w:val="00E75E90"/>
    <w:rsid w:val="00E77223"/>
    <w:rsid w:val="00E82B76"/>
    <w:rsid w:val="00E8528B"/>
    <w:rsid w:val="00E85B94"/>
    <w:rsid w:val="00E978D0"/>
    <w:rsid w:val="00EA182C"/>
    <w:rsid w:val="00EA4613"/>
    <w:rsid w:val="00EA624A"/>
    <w:rsid w:val="00EA64B0"/>
    <w:rsid w:val="00EA7F91"/>
    <w:rsid w:val="00EB1523"/>
    <w:rsid w:val="00EB6924"/>
    <w:rsid w:val="00EB6ACE"/>
    <w:rsid w:val="00EC0D74"/>
    <w:rsid w:val="00EC0E49"/>
    <w:rsid w:val="00EC101F"/>
    <w:rsid w:val="00EC1D9F"/>
    <w:rsid w:val="00EC1FD5"/>
    <w:rsid w:val="00EC34A4"/>
    <w:rsid w:val="00EC363D"/>
    <w:rsid w:val="00EC50C6"/>
    <w:rsid w:val="00ED06F8"/>
    <w:rsid w:val="00EE0131"/>
    <w:rsid w:val="00EE17B0"/>
    <w:rsid w:val="00EE243C"/>
    <w:rsid w:val="00EF00B5"/>
    <w:rsid w:val="00EF06D9"/>
    <w:rsid w:val="00EF0982"/>
    <w:rsid w:val="00EF1069"/>
    <w:rsid w:val="00EF3667"/>
    <w:rsid w:val="00F126A5"/>
    <w:rsid w:val="00F1546C"/>
    <w:rsid w:val="00F20766"/>
    <w:rsid w:val="00F22195"/>
    <w:rsid w:val="00F25B94"/>
    <w:rsid w:val="00F26FF9"/>
    <w:rsid w:val="00F3049E"/>
    <w:rsid w:val="00F305E2"/>
    <w:rsid w:val="00F30C64"/>
    <w:rsid w:val="00F32BA2"/>
    <w:rsid w:val="00F32CDB"/>
    <w:rsid w:val="00F3348F"/>
    <w:rsid w:val="00F35E9C"/>
    <w:rsid w:val="00F36732"/>
    <w:rsid w:val="00F37280"/>
    <w:rsid w:val="00F41EE4"/>
    <w:rsid w:val="00F54A9E"/>
    <w:rsid w:val="00F565FE"/>
    <w:rsid w:val="00F60673"/>
    <w:rsid w:val="00F63A70"/>
    <w:rsid w:val="00F63D8C"/>
    <w:rsid w:val="00F6479B"/>
    <w:rsid w:val="00F65227"/>
    <w:rsid w:val="00F7534E"/>
    <w:rsid w:val="00F80225"/>
    <w:rsid w:val="00F82522"/>
    <w:rsid w:val="00F91C93"/>
    <w:rsid w:val="00F92AEC"/>
    <w:rsid w:val="00F93EDF"/>
    <w:rsid w:val="00FA1802"/>
    <w:rsid w:val="00FA21D0"/>
    <w:rsid w:val="00FA5F5F"/>
    <w:rsid w:val="00FB0E63"/>
    <w:rsid w:val="00FB39D0"/>
    <w:rsid w:val="00FB730C"/>
    <w:rsid w:val="00FB7A17"/>
    <w:rsid w:val="00FC2695"/>
    <w:rsid w:val="00FC2FD1"/>
    <w:rsid w:val="00FC3E03"/>
    <w:rsid w:val="00FC3FC1"/>
    <w:rsid w:val="00FC4DBE"/>
    <w:rsid w:val="00FD754D"/>
    <w:rsid w:val="00FD7D0C"/>
    <w:rsid w:val="00FF0E29"/>
    <w:rsid w:val="00FF1C9A"/>
    <w:rsid w:val="00FF64A3"/>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
    <w:name w:val="heading 1"/>
    <w:basedOn w:val="CETHeading1"/>
    <w:next w:val="a1"/>
    <w:link w:val="10"/>
    <w:uiPriority w:val="9"/>
    <w:rsid w:val="004F5E36"/>
    <w:pPr>
      <w:tabs>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1">
    <w:name w:val="Table Simple 1"/>
    <w:basedOn w:val="a3"/>
    <w:semiHidden/>
    <w:rsid w:val="000E414A"/>
    <w:p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0">
    <w:name w:val="Заголовок 1 Знак"/>
    <w:basedOn w:val="a2"/>
    <w:link w:val="1"/>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character" w:customStyle="1" w:styleId="ezkurwreuab5ozgtqnkl">
    <w:name w:val="ezkurwreuab5ozgtqnkl"/>
    <w:basedOn w:val="a2"/>
    <w:rsid w:val="0033518C"/>
  </w:style>
  <w:style w:type="character" w:styleId="afffe">
    <w:name w:val="Unresolved Mention"/>
    <w:basedOn w:val="a2"/>
    <w:uiPriority w:val="99"/>
    <w:semiHidden/>
    <w:unhideWhenUsed/>
    <w:rsid w:val="00F26FF9"/>
    <w:rPr>
      <w:color w:val="605E5C"/>
      <w:shd w:val="clear" w:color="auto" w:fill="E1DFDD"/>
    </w:rPr>
  </w:style>
  <w:style w:type="character" w:styleId="affff">
    <w:name w:val="Emphasis"/>
    <w:basedOn w:val="a2"/>
    <w:uiPriority w:val="20"/>
    <w:qFormat/>
    <w:rsid w:val="00CB77EE"/>
    <w:rPr>
      <w:i/>
      <w:iCs/>
    </w:rPr>
  </w:style>
  <w:style w:type="character" w:customStyle="1" w:styleId="math-inline">
    <w:name w:val="math-inline"/>
    <w:basedOn w:val="a2"/>
    <w:rsid w:val="00500695"/>
  </w:style>
  <w:style w:type="paragraph" w:customStyle="1" w:styleId="leading-8">
    <w:name w:val="leading-8"/>
    <w:basedOn w:val="a1"/>
    <w:rsid w:val="00401AA5"/>
    <w:pPr>
      <w:tabs>
        <w:tab w:val="clear" w:pos="7100"/>
      </w:tabs>
      <w:spacing w:before="100" w:beforeAutospacing="1" w:after="100" w:afterAutospacing="1" w:line="240" w:lineRule="auto"/>
      <w:jc w:val="left"/>
    </w:pPr>
    <w:rPr>
      <w:rFonts w:ascii="Times New Roman" w:hAnsi="Times New Roman"/>
      <w:sz w:val="24"/>
      <w:szCs w:val="24"/>
      <w:lang w:val="ru-RU" w:eastAsia="ru-RU"/>
    </w:rPr>
  </w:style>
  <w:style w:type="character" w:styleId="affff0">
    <w:name w:val="FollowedHyperlink"/>
    <w:basedOn w:val="a2"/>
    <w:uiPriority w:val="99"/>
    <w:semiHidden/>
    <w:unhideWhenUsed/>
    <w:rsid w:val="00CA25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721703">
      <w:bodyDiv w:val="1"/>
      <w:marLeft w:val="0"/>
      <w:marRight w:val="0"/>
      <w:marTop w:val="0"/>
      <w:marBottom w:val="0"/>
      <w:divBdr>
        <w:top w:val="none" w:sz="0" w:space="0" w:color="auto"/>
        <w:left w:val="none" w:sz="0" w:space="0" w:color="auto"/>
        <w:bottom w:val="none" w:sz="0" w:space="0" w:color="auto"/>
        <w:right w:val="none" w:sz="0" w:space="0" w:color="auto"/>
      </w:divBdr>
    </w:div>
    <w:div w:id="530340763">
      <w:bodyDiv w:val="1"/>
      <w:marLeft w:val="0"/>
      <w:marRight w:val="0"/>
      <w:marTop w:val="0"/>
      <w:marBottom w:val="0"/>
      <w:divBdr>
        <w:top w:val="none" w:sz="0" w:space="0" w:color="auto"/>
        <w:left w:val="none" w:sz="0" w:space="0" w:color="auto"/>
        <w:bottom w:val="none" w:sz="0" w:space="0" w:color="auto"/>
        <w:right w:val="none" w:sz="0" w:space="0" w:color="auto"/>
      </w:divBdr>
    </w:div>
    <w:div w:id="748504804">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277787">
      <w:bodyDiv w:val="1"/>
      <w:marLeft w:val="0"/>
      <w:marRight w:val="0"/>
      <w:marTop w:val="0"/>
      <w:marBottom w:val="0"/>
      <w:divBdr>
        <w:top w:val="none" w:sz="0" w:space="0" w:color="auto"/>
        <w:left w:val="none" w:sz="0" w:space="0" w:color="auto"/>
        <w:bottom w:val="none" w:sz="0" w:space="0" w:color="auto"/>
        <w:right w:val="none" w:sz="0" w:space="0" w:color="auto"/>
      </w:divBdr>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7058276">
      <w:bodyDiv w:val="1"/>
      <w:marLeft w:val="0"/>
      <w:marRight w:val="0"/>
      <w:marTop w:val="0"/>
      <w:marBottom w:val="0"/>
      <w:divBdr>
        <w:top w:val="none" w:sz="0" w:space="0" w:color="auto"/>
        <w:left w:val="none" w:sz="0" w:space="0" w:color="auto"/>
        <w:bottom w:val="none" w:sz="0" w:space="0" w:color="auto"/>
        <w:right w:val="none" w:sz="0" w:space="0" w:color="auto"/>
      </w:divBdr>
    </w:div>
    <w:div w:id="921331314">
      <w:bodyDiv w:val="1"/>
      <w:marLeft w:val="0"/>
      <w:marRight w:val="0"/>
      <w:marTop w:val="0"/>
      <w:marBottom w:val="0"/>
      <w:divBdr>
        <w:top w:val="none" w:sz="0" w:space="0" w:color="auto"/>
        <w:left w:val="none" w:sz="0" w:space="0" w:color="auto"/>
        <w:bottom w:val="none" w:sz="0" w:space="0" w:color="auto"/>
        <w:right w:val="none" w:sz="0" w:space="0" w:color="auto"/>
      </w:divBdr>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158431">
      <w:bodyDiv w:val="1"/>
      <w:marLeft w:val="0"/>
      <w:marRight w:val="0"/>
      <w:marTop w:val="0"/>
      <w:marBottom w:val="0"/>
      <w:divBdr>
        <w:top w:val="none" w:sz="0" w:space="0" w:color="auto"/>
        <w:left w:val="none" w:sz="0" w:space="0" w:color="auto"/>
        <w:bottom w:val="none" w:sz="0" w:space="0" w:color="auto"/>
        <w:right w:val="none" w:sz="0" w:space="0" w:color="auto"/>
      </w:divBdr>
    </w:div>
    <w:div w:id="1069813266">
      <w:bodyDiv w:val="1"/>
      <w:marLeft w:val="0"/>
      <w:marRight w:val="0"/>
      <w:marTop w:val="0"/>
      <w:marBottom w:val="0"/>
      <w:divBdr>
        <w:top w:val="none" w:sz="0" w:space="0" w:color="auto"/>
        <w:left w:val="none" w:sz="0" w:space="0" w:color="auto"/>
        <w:bottom w:val="none" w:sz="0" w:space="0" w:color="auto"/>
        <w:right w:val="none" w:sz="0" w:space="0" w:color="auto"/>
      </w:divBdr>
    </w:div>
    <w:div w:id="1214385568">
      <w:bodyDiv w:val="1"/>
      <w:marLeft w:val="0"/>
      <w:marRight w:val="0"/>
      <w:marTop w:val="0"/>
      <w:marBottom w:val="0"/>
      <w:divBdr>
        <w:top w:val="none" w:sz="0" w:space="0" w:color="auto"/>
        <w:left w:val="none" w:sz="0" w:space="0" w:color="auto"/>
        <w:bottom w:val="none" w:sz="0" w:space="0" w:color="auto"/>
        <w:right w:val="none" w:sz="0" w:space="0" w:color="auto"/>
      </w:divBdr>
    </w:div>
    <w:div w:id="1217014537">
      <w:bodyDiv w:val="1"/>
      <w:marLeft w:val="0"/>
      <w:marRight w:val="0"/>
      <w:marTop w:val="0"/>
      <w:marBottom w:val="0"/>
      <w:divBdr>
        <w:top w:val="none" w:sz="0" w:space="0" w:color="auto"/>
        <w:left w:val="none" w:sz="0" w:space="0" w:color="auto"/>
        <w:bottom w:val="none" w:sz="0" w:space="0" w:color="auto"/>
        <w:right w:val="none" w:sz="0" w:space="0" w:color="auto"/>
      </w:divBdr>
    </w:div>
    <w:div w:id="1322351194">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64426078">
      <w:bodyDiv w:val="1"/>
      <w:marLeft w:val="0"/>
      <w:marRight w:val="0"/>
      <w:marTop w:val="0"/>
      <w:marBottom w:val="0"/>
      <w:divBdr>
        <w:top w:val="none" w:sz="0" w:space="0" w:color="auto"/>
        <w:left w:val="none" w:sz="0" w:space="0" w:color="auto"/>
        <w:bottom w:val="none" w:sz="0" w:space="0" w:color="auto"/>
        <w:right w:val="none" w:sz="0" w:space="0" w:color="auto"/>
      </w:divBdr>
    </w:div>
    <w:div w:id="14851187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513641212">
      <w:bodyDiv w:val="1"/>
      <w:marLeft w:val="0"/>
      <w:marRight w:val="0"/>
      <w:marTop w:val="0"/>
      <w:marBottom w:val="0"/>
      <w:divBdr>
        <w:top w:val="none" w:sz="0" w:space="0" w:color="auto"/>
        <w:left w:val="none" w:sz="0" w:space="0" w:color="auto"/>
        <w:bottom w:val="none" w:sz="0" w:space="0" w:color="auto"/>
        <w:right w:val="none" w:sz="0" w:space="0" w:color="auto"/>
      </w:divBdr>
    </w:div>
    <w:div w:id="1546481748">
      <w:bodyDiv w:val="1"/>
      <w:marLeft w:val="0"/>
      <w:marRight w:val="0"/>
      <w:marTop w:val="0"/>
      <w:marBottom w:val="0"/>
      <w:divBdr>
        <w:top w:val="none" w:sz="0" w:space="0" w:color="auto"/>
        <w:left w:val="none" w:sz="0" w:space="0" w:color="auto"/>
        <w:bottom w:val="none" w:sz="0" w:space="0" w:color="auto"/>
        <w:right w:val="none" w:sz="0" w:space="0" w:color="auto"/>
      </w:divBdr>
    </w:div>
    <w:div w:id="1594391790">
      <w:bodyDiv w:val="1"/>
      <w:marLeft w:val="0"/>
      <w:marRight w:val="0"/>
      <w:marTop w:val="0"/>
      <w:marBottom w:val="0"/>
      <w:divBdr>
        <w:top w:val="none" w:sz="0" w:space="0" w:color="auto"/>
        <w:left w:val="none" w:sz="0" w:space="0" w:color="auto"/>
        <w:bottom w:val="none" w:sz="0" w:space="0" w:color="auto"/>
        <w:right w:val="none" w:sz="0" w:space="0" w:color="auto"/>
      </w:divBdr>
    </w:div>
    <w:div w:id="1606502237">
      <w:bodyDiv w:val="1"/>
      <w:marLeft w:val="0"/>
      <w:marRight w:val="0"/>
      <w:marTop w:val="0"/>
      <w:marBottom w:val="0"/>
      <w:divBdr>
        <w:top w:val="none" w:sz="0" w:space="0" w:color="auto"/>
        <w:left w:val="none" w:sz="0" w:space="0" w:color="auto"/>
        <w:bottom w:val="none" w:sz="0" w:space="0" w:color="auto"/>
        <w:right w:val="none" w:sz="0" w:space="0" w:color="auto"/>
      </w:divBdr>
    </w:div>
    <w:div w:id="1617834170">
      <w:bodyDiv w:val="1"/>
      <w:marLeft w:val="0"/>
      <w:marRight w:val="0"/>
      <w:marTop w:val="0"/>
      <w:marBottom w:val="0"/>
      <w:divBdr>
        <w:top w:val="none" w:sz="0" w:space="0" w:color="auto"/>
        <w:left w:val="none" w:sz="0" w:space="0" w:color="auto"/>
        <w:bottom w:val="none" w:sz="0" w:space="0" w:color="auto"/>
        <w:right w:val="none" w:sz="0" w:space="0" w:color="auto"/>
      </w:divBdr>
    </w:div>
    <w:div w:id="1625037867">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17097">
      <w:bodyDiv w:val="1"/>
      <w:marLeft w:val="0"/>
      <w:marRight w:val="0"/>
      <w:marTop w:val="0"/>
      <w:marBottom w:val="0"/>
      <w:divBdr>
        <w:top w:val="none" w:sz="0" w:space="0" w:color="auto"/>
        <w:left w:val="none" w:sz="0" w:space="0" w:color="auto"/>
        <w:bottom w:val="none" w:sz="0" w:space="0" w:color="auto"/>
        <w:right w:val="none" w:sz="0" w:space="0" w:color="auto"/>
      </w:divBdr>
    </w:div>
    <w:div w:id="1749187538">
      <w:bodyDiv w:val="1"/>
      <w:marLeft w:val="0"/>
      <w:marRight w:val="0"/>
      <w:marTop w:val="0"/>
      <w:marBottom w:val="0"/>
      <w:divBdr>
        <w:top w:val="none" w:sz="0" w:space="0" w:color="auto"/>
        <w:left w:val="none" w:sz="0" w:space="0" w:color="auto"/>
        <w:bottom w:val="none" w:sz="0" w:space="0" w:color="auto"/>
        <w:right w:val="none" w:sz="0" w:space="0" w:color="auto"/>
      </w:divBdr>
    </w:div>
    <w:div w:id="1792287118">
      <w:bodyDiv w:val="1"/>
      <w:marLeft w:val="0"/>
      <w:marRight w:val="0"/>
      <w:marTop w:val="0"/>
      <w:marBottom w:val="0"/>
      <w:divBdr>
        <w:top w:val="none" w:sz="0" w:space="0" w:color="auto"/>
        <w:left w:val="none" w:sz="0" w:space="0" w:color="auto"/>
        <w:bottom w:val="none" w:sz="0" w:space="0" w:color="auto"/>
        <w:right w:val="none" w:sz="0" w:space="0" w:color="auto"/>
      </w:divBdr>
    </w:div>
    <w:div w:id="1896769392">
      <w:bodyDiv w:val="1"/>
      <w:marLeft w:val="0"/>
      <w:marRight w:val="0"/>
      <w:marTop w:val="0"/>
      <w:marBottom w:val="0"/>
      <w:divBdr>
        <w:top w:val="none" w:sz="0" w:space="0" w:color="auto"/>
        <w:left w:val="none" w:sz="0" w:space="0" w:color="auto"/>
        <w:bottom w:val="none" w:sz="0" w:space="0" w:color="auto"/>
        <w:right w:val="none" w:sz="0" w:space="0" w:color="auto"/>
      </w:divBdr>
    </w:div>
    <w:div w:id="1917737027">
      <w:bodyDiv w:val="1"/>
      <w:marLeft w:val="0"/>
      <w:marRight w:val="0"/>
      <w:marTop w:val="0"/>
      <w:marBottom w:val="0"/>
      <w:divBdr>
        <w:top w:val="none" w:sz="0" w:space="0" w:color="auto"/>
        <w:left w:val="none" w:sz="0" w:space="0" w:color="auto"/>
        <w:bottom w:val="none" w:sz="0" w:space="0" w:color="auto"/>
        <w:right w:val="none" w:sz="0" w:space="0" w:color="auto"/>
      </w:divBdr>
      <w:divsChild>
        <w:div w:id="2103453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3125408">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995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hyperlink" Target="mailto:tursunovadilshoda54@g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3355</TotalTime>
  <Pages>6</Pages>
  <Words>3113</Words>
  <Characters>17746</Characters>
  <Application>Microsoft Office Word</Application>
  <DocSecurity>0</DocSecurity>
  <Lines>147</Lines>
  <Paragraphs>41</Paragraphs>
  <ScaleCrop>false</ScaleCrop>
  <HeadingPairs>
    <vt:vector size="6" baseType="variant">
      <vt:variant>
        <vt:lpstr>Название</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vector>
  </TitlesOfParts>
  <Company>Dipartimento CMIC - Politecnico di Milano</Company>
  <LinksUpToDate>false</LinksUpToDate>
  <CharactersWithSpaces>20818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DILSHODA</cp:lastModifiedBy>
  <cp:revision>148</cp:revision>
  <cp:lastPrinted>2015-05-12T18:31:00Z</cp:lastPrinted>
  <dcterms:created xsi:type="dcterms:W3CDTF">2026-02-10T10:00:00Z</dcterms:created>
  <dcterms:modified xsi:type="dcterms:W3CDTF">2026-06-08T07:26:00Z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y fmtid="{D5CDD505-2E9C-101B-9397-08002B2CF9AE}" pid="4" name="GrammarlyDocumentId">
    <vt:lpwstr>9ee408cc-6765-4a9b-ae11-9d67d5f303c9</vt:lpwstr>
  </property>
</Properties>
</file>